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E65EBC" w:rsidRDefault="000830F1" w:rsidP="0082227D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E65EBC">
        <w:rPr>
          <w:rFonts w:asciiTheme="majorHAnsi" w:eastAsia="Times New Roman" w:hAnsiTheme="majorHAnsi" w:cs="Times New Roman"/>
          <w:b/>
          <w:bCs/>
          <w:noProof/>
          <w:color w:val="365F91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F67F65A" wp14:editId="1262A75A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E65EBC" w:rsidRDefault="000830F1" w:rsidP="002D668C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Sloboda </w:t>
      </w:r>
      <w:r w:rsidRPr="00515462">
        <w:rPr>
          <w:rFonts w:asciiTheme="majorHAnsi" w:eastAsia="Times New Roman" w:hAnsiTheme="majorHAnsi" w:cs="Times New Roman"/>
          <w:b/>
          <w:bCs/>
          <w:lang w:val="uz-Cyrl-UZ"/>
        </w:rPr>
        <w:t>izražavanja – presude Evropskog suda za ljudska prava</w:t>
      </w:r>
      <w:r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 </w:t>
      </w:r>
    </w:p>
    <w:p w:rsidR="000830F1" w:rsidRPr="00E65EBC" w:rsidRDefault="0082227D" w:rsidP="0071131D">
      <w:pPr>
        <w:keepNext/>
        <w:keepLines/>
        <w:spacing w:before="480" w:after="0"/>
        <w:ind w:left="1418" w:hanging="1418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Bilten </w:t>
      </w:r>
      <w:r w:rsidR="00201FBF">
        <w:rPr>
          <w:rFonts w:asciiTheme="majorHAnsi" w:eastAsia="Times New Roman" w:hAnsiTheme="majorHAnsi" w:cs="Times New Roman"/>
          <w:b/>
          <w:bCs/>
          <w:lang w:val="uz-Cyrl-UZ"/>
        </w:rPr>
        <w:t>L</w:t>
      </w:r>
      <w:r w:rsidR="0071131D" w:rsidRPr="00E65EBC">
        <w:rPr>
          <w:rFonts w:asciiTheme="majorHAnsi" w:eastAsia="Times New Roman" w:hAnsiTheme="majorHAnsi" w:cs="Times New Roman"/>
          <w:b/>
          <w:bCs/>
          <w:lang w:val="uz-Cyrl-UZ"/>
        </w:rPr>
        <w:t>X</w:t>
      </w:r>
      <w:r w:rsidR="000830F1" w:rsidRPr="00E65EBC">
        <w:rPr>
          <w:rFonts w:asciiTheme="majorHAnsi" w:eastAsia="Times New Roman" w:hAnsiTheme="majorHAnsi" w:cs="Times New Roman"/>
          <w:b/>
          <w:bCs/>
          <w:lang w:val="uz-Cyrl-UZ"/>
        </w:rPr>
        <w:t>:</w:t>
      </w:r>
      <w:r w:rsidR="005A67EF"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 </w:t>
      </w:r>
      <w:r w:rsidR="0071131D"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PRESUDE EVROPSKIH SUDOVA U ODNOSU NA SLOBODU IZRAŽAVANJA: </w:t>
      </w:r>
      <w:r w:rsidR="0068173B" w:rsidRPr="00E65EBC">
        <w:rPr>
          <w:rFonts w:asciiTheme="majorHAnsi" w:eastAsia="Times New Roman" w:hAnsiTheme="majorHAnsi" w:cs="Times New Roman"/>
          <w:b/>
          <w:bCs/>
          <w:lang w:val="uz-Cyrl-UZ"/>
        </w:rPr>
        <w:t xml:space="preserve">PROLJEĆE/ LJETO </w:t>
      </w:r>
      <w:r w:rsidR="0071131D" w:rsidRPr="00E65EBC">
        <w:rPr>
          <w:rFonts w:asciiTheme="majorHAnsi" w:eastAsia="Times New Roman" w:hAnsiTheme="majorHAnsi" w:cs="Times New Roman"/>
          <w:b/>
          <w:bCs/>
          <w:lang w:val="uz-Cyrl-UZ"/>
        </w:rPr>
        <w:t>2015.</w:t>
      </w:r>
    </w:p>
    <w:p w:rsidR="0071131D" w:rsidRPr="00E65EBC" w:rsidRDefault="0071131D" w:rsidP="0071131D">
      <w:pPr>
        <w:jc w:val="both"/>
        <w:rPr>
          <w:rFonts w:asciiTheme="majorHAnsi" w:eastAsia="Calibri" w:hAnsiTheme="majorHAnsi" w:cs="Times New Roman"/>
          <w:i/>
          <w:lang w:val="uz-Cyrl-UZ"/>
        </w:rPr>
      </w:pPr>
    </w:p>
    <w:p w:rsidR="000830F1" w:rsidRPr="00E65EBC" w:rsidRDefault="00D06798" w:rsidP="0071131D">
      <w:pPr>
        <w:jc w:val="both"/>
        <w:rPr>
          <w:rFonts w:asciiTheme="majorHAnsi" w:eastAsia="Calibri" w:hAnsiTheme="majorHAnsi" w:cs="Times New Roman"/>
          <w:i/>
          <w:lang w:val="uz-Cyrl-UZ"/>
        </w:rPr>
      </w:pPr>
      <w:r w:rsidRPr="00E65EBC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D433" wp14:editId="336BA4AF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71131D" w:rsidRPr="00E65EBC">
        <w:rPr>
          <w:rFonts w:asciiTheme="majorHAnsi" w:eastAsia="Calibri" w:hAnsiTheme="majorHAnsi" w:cs="Times New Roman"/>
          <w:i/>
          <w:lang w:val="uz-Cyrl-UZ"/>
        </w:rPr>
        <w:t xml:space="preserve">11. septembar </w:t>
      </w:r>
      <w:r w:rsidR="005A67EF" w:rsidRPr="00E65EBC">
        <w:rPr>
          <w:rFonts w:asciiTheme="majorHAnsi" w:eastAsia="Calibri" w:hAnsiTheme="majorHAnsi" w:cs="Times New Roman"/>
          <w:i/>
          <w:lang w:val="uz-Cyrl-UZ"/>
        </w:rPr>
        <w:t>2015</w:t>
      </w:r>
      <w:r w:rsidR="000830F1" w:rsidRPr="00E65EBC">
        <w:rPr>
          <w:rFonts w:asciiTheme="majorHAnsi" w:eastAsia="Calibri" w:hAnsiTheme="majorHAnsi" w:cs="Times New Roman"/>
          <w:i/>
          <w:lang w:val="uz-Cyrl-UZ"/>
        </w:rPr>
        <w:t>.</w:t>
      </w:r>
    </w:p>
    <w:p w:rsidR="00500887" w:rsidRPr="00E65EBC" w:rsidRDefault="00500887" w:rsidP="00500887">
      <w:pPr>
        <w:jc w:val="both"/>
        <w:rPr>
          <w:rFonts w:asciiTheme="majorHAnsi" w:eastAsia="Calibri" w:hAnsiTheme="majorHAnsi" w:cs="Times New Roman"/>
          <w:lang w:val="uz-Cyrl-UZ"/>
        </w:rPr>
      </w:pPr>
    </w:p>
    <w:p w:rsidR="0071131D" w:rsidRPr="00E65EBC" w:rsidRDefault="0071131D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E65EBC">
        <w:rPr>
          <w:rFonts w:asciiTheme="majorHAnsi" w:eastAsia="Calibri" w:hAnsiTheme="majorHAnsi" w:cs="Times New Roman"/>
          <w:lang w:val="uz-Cyrl-UZ"/>
        </w:rPr>
        <w:t xml:space="preserve">Evropski sud za </w:t>
      </w:r>
      <w:r w:rsidR="00FC59B7">
        <w:rPr>
          <w:rFonts w:asciiTheme="majorHAnsi" w:eastAsia="Calibri" w:hAnsiTheme="majorHAnsi" w:cs="Times New Roman"/>
          <w:lang w:val="uz-Cyrl-UZ"/>
        </w:rPr>
        <w:t>ljudska prava nije donosio presude</w:t>
      </w:r>
      <w:r w:rsidRPr="00E65EBC">
        <w:rPr>
          <w:rFonts w:asciiTheme="majorHAnsi" w:eastAsia="Calibri" w:hAnsiTheme="majorHAnsi" w:cs="Times New Roman"/>
          <w:lang w:val="uz-Cyrl-UZ"/>
        </w:rPr>
        <w:t xml:space="preserve"> u odnosu na slobodu izražavanja u avgustu 2015. Umjesto toga, u ovom biltenu su sumirane nedavne </w:t>
      </w:r>
      <w:r w:rsidR="006B0020" w:rsidRPr="00E65EBC">
        <w:rPr>
          <w:rFonts w:asciiTheme="majorHAnsi" w:eastAsia="Calibri" w:hAnsiTheme="majorHAnsi" w:cs="Times New Roman"/>
          <w:lang w:val="uz-Cyrl-UZ"/>
        </w:rPr>
        <w:t xml:space="preserve">presude irskih, holandskih i engleskih sudova </w:t>
      </w:r>
      <w:r w:rsidRPr="00E65EBC">
        <w:rPr>
          <w:rFonts w:asciiTheme="majorHAnsi" w:eastAsia="Calibri" w:hAnsiTheme="majorHAnsi" w:cs="Times New Roman"/>
          <w:lang w:val="uz-Cyrl-UZ"/>
        </w:rPr>
        <w:t>u odnosu na slobodu izražavanja:</w:t>
      </w:r>
    </w:p>
    <w:p w:rsidR="0071131D" w:rsidRPr="00E65EBC" w:rsidRDefault="006B0020" w:rsidP="006B0020">
      <w:pPr>
        <w:pStyle w:val="ListParagraph"/>
        <w:numPr>
          <w:ilvl w:val="0"/>
          <w:numId w:val="11"/>
        </w:numPr>
        <w:tabs>
          <w:tab w:val="left" w:pos="7295"/>
        </w:tabs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E65EBC">
        <w:rPr>
          <w:rFonts w:asciiTheme="majorHAnsi" w:eastAsia="Calibri" w:hAnsiTheme="majorHAnsi" w:cs="Times New Roman"/>
          <w:b/>
          <w:i/>
          <w:lang w:val="uz-Cyrl-UZ"/>
        </w:rPr>
        <w:t xml:space="preserve">Pretium protiv BNN-Vara, </w:t>
      </w:r>
      <w:r w:rsidRPr="00E65EBC">
        <w:rPr>
          <w:rFonts w:asciiTheme="majorHAnsi" w:eastAsia="Calibri" w:hAnsiTheme="majorHAnsi" w:cs="Times New Roman"/>
          <w:lang w:val="uz-Cyrl-UZ"/>
        </w:rPr>
        <w:t xml:space="preserve">Amsterdamski apelacioni sud (predmet br. 200.144.473-01), 24. april 2014: </w:t>
      </w:r>
      <w:r w:rsidR="0014664D">
        <w:rPr>
          <w:rFonts w:asciiTheme="majorHAnsi" w:eastAsia="Calibri" w:hAnsiTheme="majorHAnsi" w:cs="Times New Roman"/>
          <w:lang w:val="uz-Cyrl-UZ"/>
        </w:rPr>
        <w:t>prilog o lošim uslugama telefonske kompanije nije bio klevetnički, iako su pojedini djelovi bili neukusni;</w:t>
      </w:r>
    </w:p>
    <w:p w:rsidR="006B0020" w:rsidRPr="00E65EBC" w:rsidRDefault="006B0020" w:rsidP="006B0020">
      <w:pPr>
        <w:pStyle w:val="ListParagraph"/>
        <w:numPr>
          <w:ilvl w:val="0"/>
          <w:numId w:val="11"/>
        </w:numPr>
        <w:tabs>
          <w:tab w:val="left" w:pos="7295"/>
        </w:tabs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E65EBC">
        <w:rPr>
          <w:rFonts w:asciiTheme="majorHAnsi" w:eastAsia="Calibri" w:hAnsiTheme="majorHAnsi" w:cs="Times New Roman"/>
          <w:b/>
          <w:i/>
          <w:lang w:val="uz-Cyrl-UZ"/>
        </w:rPr>
        <w:t xml:space="preserve">O’Brien protiv RTÉ, </w:t>
      </w:r>
      <w:r w:rsidR="00EE635D">
        <w:rPr>
          <w:rFonts w:asciiTheme="majorHAnsi" w:eastAsia="Calibri" w:hAnsiTheme="majorHAnsi" w:cs="Times New Roman"/>
          <w:lang w:val="uz-Cyrl-UZ"/>
        </w:rPr>
        <w:t xml:space="preserve">Visoki sud Irske </w:t>
      </w:r>
      <w:r w:rsidR="00EE635D" w:rsidRPr="00A30CE3">
        <w:rPr>
          <w:rFonts w:ascii="Cambria" w:eastAsia="Droid Sans Fallback" w:hAnsi="Cambria" w:cs="Calibri"/>
          <w:color w:val="00000A"/>
        </w:rPr>
        <w:t>[2015]</w:t>
      </w:r>
      <w:r w:rsidR="00EE635D" w:rsidRPr="0014664D">
        <w:rPr>
          <w:rFonts w:asciiTheme="majorHAnsi" w:eastAsia="Calibri" w:hAnsiTheme="majorHAnsi" w:cs="Times New Roman"/>
          <w:lang w:val="uz-Cyrl-UZ"/>
        </w:rPr>
        <w:t>,</w:t>
      </w:r>
      <w:r w:rsidR="00EE635D" w:rsidRPr="0014664D">
        <w:rPr>
          <w:rFonts w:asciiTheme="majorHAnsi" w:eastAsia="Calibri" w:hAnsiTheme="majorHAnsi" w:cs="Times New Roman"/>
          <w:b/>
          <w:i/>
          <w:lang w:val="uz-Cyrl-UZ"/>
        </w:rPr>
        <w:t xml:space="preserve"> </w:t>
      </w:r>
      <w:r w:rsidR="00EE635D" w:rsidRPr="0014664D">
        <w:rPr>
          <w:rFonts w:asciiTheme="majorHAnsi" w:eastAsia="Calibri" w:hAnsiTheme="majorHAnsi" w:cs="Times New Roman"/>
          <w:lang w:val="uz-Cyrl-UZ"/>
        </w:rPr>
        <w:t>21. maj 2015</w:t>
      </w:r>
      <w:r w:rsidR="0032148F" w:rsidRPr="00E65EBC">
        <w:rPr>
          <w:rFonts w:asciiTheme="majorHAnsi" w:eastAsia="Calibri" w:hAnsiTheme="majorHAnsi" w:cs="Times New Roman"/>
          <w:lang w:val="uz-Cyrl-UZ"/>
        </w:rPr>
        <w:t>:</w:t>
      </w:r>
      <w:r w:rsidR="00EE635D" w:rsidRPr="00EE635D">
        <w:rPr>
          <w:rFonts w:asciiTheme="majorHAnsi" w:eastAsia="Calibri" w:hAnsiTheme="majorHAnsi" w:cs="Times New Roman"/>
          <w:lang w:val="uz-Cyrl-UZ"/>
        </w:rPr>
        <w:t xml:space="preserve"> </w:t>
      </w:r>
      <w:r w:rsidR="00EE635D">
        <w:rPr>
          <w:rFonts w:asciiTheme="majorHAnsi" w:eastAsia="Calibri" w:hAnsiTheme="majorHAnsi" w:cs="Times New Roman"/>
          <w:lang w:val="uz-Cyrl-UZ"/>
        </w:rPr>
        <w:t>emitovanje</w:t>
      </w:r>
      <w:r w:rsidR="00EE635D" w:rsidRPr="00E65EBC">
        <w:rPr>
          <w:rFonts w:asciiTheme="majorHAnsi" w:eastAsia="Calibri" w:hAnsiTheme="majorHAnsi" w:cs="Times New Roman"/>
          <w:lang w:val="uz-Cyrl-UZ"/>
        </w:rPr>
        <w:t xml:space="preserve"> </w:t>
      </w:r>
      <w:r w:rsidR="0032148F" w:rsidRPr="00E65EBC">
        <w:rPr>
          <w:rFonts w:asciiTheme="majorHAnsi" w:eastAsia="Calibri" w:hAnsiTheme="majorHAnsi" w:cs="Times New Roman"/>
          <w:lang w:val="uz-Cyrl-UZ"/>
        </w:rPr>
        <w:t xml:space="preserve">povjerljivih finansijskih </w:t>
      </w:r>
      <w:r w:rsidR="00515462">
        <w:rPr>
          <w:rFonts w:asciiTheme="majorHAnsi" w:eastAsia="Calibri" w:hAnsiTheme="majorHAnsi" w:cs="Times New Roman"/>
          <w:lang w:val="uz-Cyrl-UZ"/>
        </w:rPr>
        <w:t xml:space="preserve">podataka </w:t>
      </w:r>
      <w:r w:rsidR="0032148F" w:rsidRPr="00E65EBC">
        <w:rPr>
          <w:rFonts w:asciiTheme="majorHAnsi" w:eastAsia="Calibri" w:hAnsiTheme="majorHAnsi" w:cs="Times New Roman"/>
          <w:lang w:val="uz-Cyrl-UZ"/>
        </w:rPr>
        <w:t xml:space="preserve">nije </w:t>
      </w:r>
      <w:r w:rsidR="00201FBF">
        <w:rPr>
          <w:rFonts w:asciiTheme="majorHAnsi" w:eastAsia="Calibri" w:hAnsiTheme="majorHAnsi" w:cs="Times New Roman"/>
          <w:lang w:val="uz-Cyrl-UZ"/>
        </w:rPr>
        <w:t xml:space="preserve">bilo </w:t>
      </w:r>
      <w:r w:rsidR="0032148F" w:rsidRPr="00E65EBC">
        <w:rPr>
          <w:rFonts w:asciiTheme="majorHAnsi" w:eastAsia="Calibri" w:hAnsiTheme="majorHAnsi" w:cs="Times New Roman"/>
          <w:lang w:val="uz-Cyrl-UZ"/>
        </w:rPr>
        <w:t>u javnom interesu;</w:t>
      </w:r>
    </w:p>
    <w:p w:rsidR="0032148F" w:rsidRPr="00515462" w:rsidRDefault="0068173B" w:rsidP="0032148F">
      <w:pPr>
        <w:pStyle w:val="ListParagraph"/>
        <w:numPr>
          <w:ilvl w:val="0"/>
          <w:numId w:val="11"/>
        </w:numPr>
        <w:tabs>
          <w:tab w:val="left" w:pos="7295"/>
        </w:tabs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515462">
        <w:rPr>
          <w:rFonts w:asciiTheme="majorHAnsi" w:eastAsia="Calibri" w:hAnsiTheme="majorHAnsi" w:cs="Times New Roman"/>
          <w:b/>
          <w:i/>
          <w:lang w:val="uz-Cyrl-UZ"/>
        </w:rPr>
        <w:t>CCCP i</w:t>
      </w:r>
      <w:r w:rsidR="0032148F" w:rsidRPr="00515462">
        <w:rPr>
          <w:rFonts w:asciiTheme="majorHAnsi" w:eastAsia="Calibri" w:hAnsiTheme="majorHAnsi" w:cs="Times New Roman"/>
          <w:b/>
          <w:i/>
          <w:lang w:val="uz-Cyrl-UZ"/>
        </w:rPr>
        <w:t xml:space="preserve"> KRO-NCRV protiv Media Markt,</w:t>
      </w:r>
      <w:r w:rsidR="0032148F" w:rsidRPr="00515462">
        <w:rPr>
          <w:rFonts w:asciiTheme="majorHAnsi" w:eastAsia="Calibri" w:hAnsiTheme="majorHAnsi" w:cs="Times New Roman"/>
          <w:lang w:val="uz-Cyrl-UZ"/>
        </w:rPr>
        <w:t xml:space="preserve"> Amsterdamski apelacioni sud (predmet br. 200.157.976-01), 28. april 2015: emitovanje nelegalno pribavljenog snimka nije moglo </w:t>
      </w:r>
      <w:r w:rsidR="007C7474">
        <w:rPr>
          <w:rFonts w:asciiTheme="majorHAnsi" w:eastAsia="Calibri" w:hAnsiTheme="majorHAnsi" w:cs="Times New Roman"/>
          <w:lang w:val="uz-Cyrl-UZ"/>
        </w:rPr>
        <w:t>biti zaustavljeno</w:t>
      </w:r>
      <w:r w:rsidR="0032148F" w:rsidRPr="00515462">
        <w:rPr>
          <w:rFonts w:asciiTheme="majorHAnsi" w:eastAsia="Calibri" w:hAnsiTheme="majorHAnsi" w:cs="Times New Roman"/>
          <w:lang w:val="uz-Cyrl-UZ"/>
        </w:rPr>
        <w:t>;</w:t>
      </w:r>
    </w:p>
    <w:p w:rsidR="0032148F" w:rsidRPr="00E65EBC" w:rsidRDefault="0032148F" w:rsidP="00EB6D91">
      <w:pPr>
        <w:pStyle w:val="ListParagraph"/>
        <w:numPr>
          <w:ilvl w:val="0"/>
          <w:numId w:val="11"/>
        </w:numPr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E65EBC">
        <w:rPr>
          <w:rFonts w:asciiTheme="majorHAnsi" w:eastAsia="Calibri" w:hAnsiTheme="majorHAnsi" w:cs="Times New Roman"/>
          <w:b/>
          <w:i/>
          <w:lang w:val="uz-Cyrl-UZ"/>
        </w:rPr>
        <w:t xml:space="preserve">Gulati &amp; Ors protiv </w:t>
      </w:r>
      <w:r w:rsidR="00E65EBC" w:rsidRPr="00E65EBC">
        <w:rPr>
          <w:rFonts w:asciiTheme="majorHAnsi" w:eastAsia="Calibri" w:hAnsiTheme="majorHAnsi" w:cs="Times New Roman"/>
          <w:b/>
          <w:i/>
          <w:lang w:val="uz-Cyrl-UZ"/>
        </w:rPr>
        <w:t>MGN doo</w:t>
      </w:r>
      <w:r w:rsidRPr="00E65EBC">
        <w:rPr>
          <w:rFonts w:asciiTheme="majorHAnsi" w:eastAsia="Calibri" w:hAnsiTheme="majorHAnsi" w:cs="Times New Roman"/>
          <w:b/>
          <w:i/>
          <w:lang w:val="uz-Cyrl-UZ"/>
        </w:rPr>
        <w:t xml:space="preserve">, </w:t>
      </w:r>
      <w:r w:rsidR="0057118C" w:rsidRPr="00E65EBC">
        <w:rPr>
          <w:rFonts w:ascii="Cambria" w:eastAsia="Droid Sans Fallback" w:hAnsi="Cambria" w:cs="Calibri"/>
          <w:color w:val="00000A"/>
          <w:lang w:val="uz-Cyrl-UZ"/>
        </w:rPr>
        <w:t xml:space="preserve">[2015] </w:t>
      </w:r>
      <w:r w:rsidR="00E65EBC" w:rsidRPr="00E65EBC">
        <w:rPr>
          <w:rFonts w:asciiTheme="majorHAnsi" w:eastAsia="Calibri" w:hAnsiTheme="majorHAnsi" w:cs="Times New Roman"/>
          <w:lang w:val="uz-Cyrl-UZ"/>
        </w:rPr>
        <w:t>Visoki</w:t>
      </w:r>
      <w:r w:rsidRPr="00E65EBC">
        <w:rPr>
          <w:rFonts w:asciiTheme="majorHAnsi" w:eastAsia="Calibri" w:hAnsiTheme="majorHAnsi" w:cs="Times New Roman"/>
          <w:lang w:val="uz-Cyrl-UZ"/>
        </w:rPr>
        <w:t xml:space="preserve"> sud Engleske i Velsa</w:t>
      </w:r>
      <w:r w:rsidR="00E65EBC" w:rsidRPr="00E65EBC">
        <w:rPr>
          <w:rFonts w:asciiTheme="majorHAnsi" w:eastAsia="Calibri" w:hAnsiTheme="majorHAnsi" w:cs="Times New Roman"/>
          <w:lang w:val="uz-Cyrl-UZ"/>
        </w:rPr>
        <w:t xml:space="preserve"> 1482 (Kancelarsko </w:t>
      </w:r>
      <w:r w:rsidR="00EB6D91">
        <w:rPr>
          <w:rFonts w:asciiTheme="majorHAnsi" w:eastAsia="Calibri" w:hAnsiTheme="majorHAnsi" w:cs="Times New Roman"/>
          <w:lang w:val="uz-Cyrl-UZ"/>
        </w:rPr>
        <w:t>o</w:t>
      </w:r>
      <w:r w:rsidR="00E65EBC" w:rsidRPr="00E65EBC">
        <w:rPr>
          <w:rFonts w:asciiTheme="majorHAnsi" w:eastAsia="Calibri" w:hAnsiTheme="majorHAnsi" w:cs="Times New Roman"/>
          <w:lang w:val="uz-Cyrl-UZ"/>
        </w:rPr>
        <w:t xml:space="preserve">djeljenje): </w:t>
      </w:r>
      <w:r w:rsidR="00834BE1">
        <w:rPr>
          <w:rFonts w:asciiTheme="majorHAnsi" w:eastAsia="Calibri" w:hAnsiTheme="majorHAnsi" w:cs="Times New Roman"/>
          <w:lang w:val="uz-Cyrl-UZ"/>
        </w:rPr>
        <w:t>visok iznos naknade za štetu koji je dosuđen žrtvama „hakovanja telefona“ od strane novinara nije prekršio pravo na slobodu izražavanja.</w:t>
      </w:r>
      <w:r w:rsidRPr="00E65EBC">
        <w:rPr>
          <w:rFonts w:asciiTheme="majorHAnsi" w:eastAsia="Calibri" w:hAnsiTheme="majorHAnsi" w:cs="Times New Roman"/>
          <w:lang w:val="uz-Cyrl-UZ"/>
        </w:rPr>
        <w:t xml:space="preserve"> </w:t>
      </w:r>
    </w:p>
    <w:p w:rsidR="0071131D" w:rsidRPr="00E65EBC" w:rsidRDefault="00E65EBC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E65EBC">
        <w:rPr>
          <w:rFonts w:asciiTheme="majorHAnsi" w:eastAsia="Calibri" w:hAnsiTheme="majorHAnsi" w:cs="Times New Roman"/>
          <w:lang w:val="uz-Cyrl-UZ"/>
        </w:rPr>
        <w:t>Slučajevi su se ticali sljedećih pitanja:</w:t>
      </w:r>
    </w:p>
    <w:p w:rsidR="00C2281E" w:rsidRPr="00C2281E" w:rsidRDefault="00C2281E" w:rsidP="0014664D">
      <w:pPr>
        <w:pStyle w:val="ListParagraph"/>
        <w:numPr>
          <w:ilvl w:val="0"/>
          <w:numId w:val="12"/>
        </w:numPr>
        <w:tabs>
          <w:tab w:val="left" w:pos="7295"/>
        </w:tabs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C2281E">
        <w:rPr>
          <w:rFonts w:asciiTheme="majorHAnsi" w:eastAsia="Calibri" w:hAnsiTheme="majorHAnsi" w:cs="Times New Roman"/>
          <w:b/>
          <w:i/>
          <w:lang w:val="uz-Cyrl-UZ"/>
        </w:rPr>
        <w:t xml:space="preserve">Pretium protiv BNN-Vara, </w:t>
      </w:r>
      <w:r w:rsidRPr="00C2281E">
        <w:rPr>
          <w:rFonts w:asciiTheme="majorHAnsi" w:eastAsia="Calibri" w:hAnsiTheme="majorHAnsi" w:cs="Times New Roman"/>
          <w:lang w:val="uz-Cyrl-UZ"/>
        </w:rPr>
        <w:t xml:space="preserve">Amsterdamski apelacioni sud (predmet br. 200.144.473-01), 24. april 2014: </w:t>
      </w:r>
      <w:r w:rsidR="0014664D" w:rsidRPr="0014664D">
        <w:rPr>
          <w:rFonts w:asciiTheme="majorHAnsi" w:eastAsia="Calibri" w:hAnsiTheme="majorHAnsi" w:cs="Times New Roman"/>
          <w:highlight w:val="yellow"/>
          <w:lang w:val="uz-Cyrl-UZ"/>
        </w:rPr>
        <w:t>prilog o lošim uslugama telefonske kompanije nije bio klevetnički, iako su pojedini djelovi bili neukusni</w:t>
      </w:r>
    </w:p>
    <w:p w:rsidR="00265A0B" w:rsidRDefault="00C2281E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C2281E">
        <w:rPr>
          <w:rFonts w:asciiTheme="majorHAnsi" w:eastAsia="Calibri" w:hAnsiTheme="majorHAnsi" w:cs="Times New Roman"/>
          <w:lang w:val="uz-Cyrl-UZ"/>
        </w:rPr>
        <w:t xml:space="preserve">Holandski Apelacioni sud u Amsterdamu je presudio da </w:t>
      </w:r>
      <w:r>
        <w:rPr>
          <w:rFonts w:asciiTheme="majorHAnsi" w:eastAsia="Calibri" w:hAnsiTheme="majorHAnsi" w:cs="Times New Roman"/>
          <w:lang w:val="uz-Cyrl-UZ"/>
        </w:rPr>
        <w:t xml:space="preserve">je </w:t>
      </w:r>
      <w:r w:rsidR="00265A0B">
        <w:rPr>
          <w:rFonts w:asciiTheme="majorHAnsi" w:eastAsia="Calibri" w:hAnsiTheme="majorHAnsi" w:cs="Times New Roman"/>
          <w:lang w:val="uz-Cyrl-UZ"/>
        </w:rPr>
        <w:t xml:space="preserve">prilog </w:t>
      </w:r>
      <w:r w:rsidRPr="00C2281E">
        <w:rPr>
          <w:rFonts w:asciiTheme="majorHAnsi" w:eastAsia="Calibri" w:hAnsiTheme="majorHAnsi" w:cs="Times New Roman"/>
          <w:lang w:val="uz-Cyrl-UZ"/>
        </w:rPr>
        <w:t xml:space="preserve">o </w:t>
      </w:r>
      <w:r w:rsidR="00EB6D91">
        <w:rPr>
          <w:rFonts w:asciiTheme="majorHAnsi" w:eastAsia="Calibri" w:hAnsiTheme="majorHAnsi" w:cs="Times New Roman"/>
          <w:lang w:val="uz-Cyrl-UZ"/>
        </w:rPr>
        <w:t xml:space="preserve">propustu </w:t>
      </w:r>
      <w:r w:rsidRPr="00C2281E">
        <w:rPr>
          <w:rFonts w:asciiTheme="majorHAnsi" w:eastAsia="Calibri" w:hAnsiTheme="majorHAnsi" w:cs="Times New Roman"/>
          <w:lang w:val="uz-Cyrl-UZ"/>
        </w:rPr>
        <w:t>telefonske kompanije da obezb</w:t>
      </w:r>
      <w:r>
        <w:rPr>
          <w:rFonts w:asciiTheme="majorHAnsi" w:eastAsia="Calibri" w:hAnsiTheme="majorHAnsi" w:cs="Times New Roman"/>
          <w:lang w:val="uz-Cyrl-UZ"/>
        </w:rPr>
        <w:t>ij</w:t>
      </w:r>
      <w:r w:rsidRPr="00C2281E">
        <w:rPr>
          <w:rFonts w:asciiTheme="majorHAnsi" w:eastAsia="Calibri" w:hAnsiTheme="majorHAnsi" w:cs="Times New Roman"/>
          <w:lang w:val="uz-Cyrl-UZ"/>
        </w:rPr>
        <w:t>edi dobru uslugu penzioner</w:t>
      </w:r>
      <w:r w:rsidR="00515462">
        <w:rPr>
          <w:rFonts w:asciiTheme="majorHAnsi" w:eastAsia="Calibri" w:hAnsiTheme="majorHAnsi" w:cs="Times New Roman"/>
          <w:lang w:val="uz-Cyrl-UZ"/>
        </w:rPr>
        <w:t>ki</w:t>
      </w:r>
      <w:r>
        <w:rPr>
          <w:rFonts w:asciiTheme="majorHAnsi" w:eastAsia="Calibri" w:hAnsiTheme="majorHAnsi" w:cs="Times New Roman"/>
          <w:lang w:val="uz-Cyrl-UZ"/>
        </w:rPr>
        <w:t xml:space="preserve"> možda bio neukusan, ali ne i nezakonit</w:t>
      </w:r>
      <w:r w:rsidRPr="00C2281E">
        <w:rPr>
          <w:rFonts w:asciiTheme="majorHAnsi" w:eastAsia="Calibri" w:hAnsiTheme="majorHAnsi" w:cs="Times New Roman"/>
          <w:lang w:val="uz-Cyrl-UZ"/>
        </w:rPr>
        <w:t>.</w:t>
      </w:r>
      <w:r w:rsidR="002068E5">
        <w:rPr>
          <w:rFonts w:asciiTheme="majorHAnsi" w:eastAsia="Calibri" w:hAnsiTheme="majorHAnsi" w:cs="Times New Roman"/>
          <w:lang w:val="uz-Cyrl-UZ"/>
        </w:rPr>
        <w:t xml:space="preserve"> </w:t>
      </w:r>
      <w:r w:rsidR="00265A0B">
        <w:rPr>
          <w:rFonts w:asciiTheme="majorHAnsi" w:eastAsia="Calibri" w:hAnsiTheme="majorHAnsi" w:cs="Times New Roman"/>
          <w:lang w:val="uz-Cyrl-UZ"/>
        </w:rPr>
        <w:t xml:space="preserve">Prilog </w:t>
      </w:r>
      <w:r w:rsidR="002068E5">
        <w:rPr>
          <w:rFonts w:asciiTheme="majorHAnsi" w:eastAsia="Calibri" w:hAnsiTheme="majorHAnsi" w:cs="Times New Roman"/>
          <w:lang w:val="uz-Cyrl-UZ"/>
        </w:rPr>
        <w:t xml:space="preserve">se bavio </w:t>
      </w:r>
      <w:r w:rsidR="00265A0B">
        <w:rPr>
          <w:rFonts w:asciiTheme="majorHAnsi" w:eastAsia="Calibri" w:hAnsiTheme="majorHAnsi" w:cs="Times New Roman"/>
          <w:lang w:val="uz-Cyrl-UZ"/>
        </w:rPr>
        <w:t xml:space="preserve">pritužbama na telekomov provajder </w:t>
      </w:r>
      <w:r w:rsidR="00265A0B" w:rsidRPr="00265A0B">
        <w:rPr>
          <w:rFonts w:asciiTheme="majorHAnsi" w:eastAsia="Calibri" w:hAnsiTheme="majorHAnsi" w:cs="Times New Roman"/>
          <w:i/>
          <w:lang w:val="uz-Cyrl-UZ"/>
        </w:rPr>
        <w:t>Pretium</w:t>
      </w:r>
      <w:r w:rsidR="00515462">
        <w:rPr>
          <w:rFonts w:asciiTheme="majorHAnsi" w:eastAsia="Calibri" w:hAnsiTheme="majorHAnsi" w:cs="Times New Roman"/>
          <w:lang w:val="uz-Cyrl-UZ"/>
        </w:rPr>
        <w:t>, a počinjao je</w:t>
      </w:r>
      <w:r w:rsidR="00265A0B">
        <w:rPr>
          <w:rFonts w:asciiTheme="majorHAnsi" w:eastAsia="Calibri" w:hAnsiTheme="majorHAnsi" w:cs="Times New Roman"/>
          <w:lang w:val="uz-Cyrl-UZ"/>
        </w:rPr>
        <w:t xml:space="preserve"> pričom o starici koja nije mogla da koristi telefonsku liniju tokom posljednjih sedmica </w:t>
      </w:r>
      <w:r w:rsidR="00515462">
        <w:rPr>
          <w:rFonts w:asciiTheme="majorHAnsi" w:eastAsia="Calibri" w:hAnsiTheme="majorHAnsi" w:cs="Times New Roman"/>
          <w:lang w:val="uz-Cyrl-UZ"/>
        </w:rPr>
        <w:t>života</w:t>
      </w:r>
      <w:r w:rsidR="00265A0B">
        <w:rPr>
          <w:rFonts w:asciiTheme="majorHAnsi" w:eastAsia="Calibri" w:hAnsiTheme="majorHAnsi" w:cs="Times New Roman"/>
          <w:lang w:val="uz-Cyrl-UZ"/>
        </w:rPr>
        <w:t xml:space="preserve"> zbog propusta telefonske kompanije. Početne scene su prikazivale staričinu nećaku kako posjećuje njen grob, a </w:t>
      </w:r>
      <w:r w:rsidR="00515462">
        <w:rPr>
          <w:rFonts w:asciiTheme="majorHAnsi" w:eastAsia="Calibri" w:hAnsiTheme="majorHAnsi" w:cs="Times New Roman"/>
          <w:lang w:val="uz-Cyrl-UZ"/>
        </w:rPr>
        <w:t xml:space="preserve">u pozadini se čula tiha </w:t>
      </w:r>
      <w:r w:rsidR="00265A0B">
        <w:rPr>
          <w:rFonts w:asciiTheme="majorHAnsi" w:eastAsia="Calibri" w:hAnsiTheme="majorHAnsi" w:cs="Times New Roman"/>
          <w:lang w:val="uz-Cyrl-UZ"/>
        </w:rPr>
        <w:t xml:space="preserve">muzika - što je predstavljalo dramatičan uvod u prilog. Telefonska kompanija je podnijela tužbu za klevetu, navodeći da su pružili dobru uslugu i </w:t>
      </w:r>
      <w:r w:rsidR="00515462">
        <w:rPr>
          <w:rFonts w:asciiTheme="majorHAnsi" w:eastAsia="Calibri" w:hAnsiTheme="majorHAnsi" w:cs="Times New Roman"/>
          <w:lang w:val="uz-Cyrl-UZ"/>
        </w:rPr>
        <w:t xml:space="preserve">da </w:t>
      </w:r>
      <w:r w:rsidR="00265A0B">
        <w:rPr>
          <w:rFonts w:asciiTheme="majorHAnsi" w:eastAsia="Calibri" w:hAnsiTheme="majorHAnsi" w:cs="Times New Roman"/>
          <w:lang w:val="uz-Cyrl-UZ"/>
        </w:rPr>
        <w:t xml:space="preserve">njihovi odgovori emiteru nijesu u potpunosti bili prikazani u emitovanom prilogu. Kompanija je </w:t>
      </w:r>
      <w:r w:rsidR="00FC59B7">
        <w:rPr>
          <w:rFonts w:asciiTheme="majorHAnsi" w:eastAsia="Calibri" w:hAnsiTheme="majorHAnsi" w:cs="Times New Roman"/>
          <w:lang w:val="uz-Cyrl-UZ"/>
        </w:rPr>
        <w:t>dobila spor u prvom stepenu, pa</w:t>
      </w:r>
      <w:r w:rsidR="00265A0B">
        <w:rPr>
          <w:rFonts w:asciiTheme="majorHAnsi" w:eastAsia="Calibri" w:hAnsiTheme="majorHAnsi" w:cs="Times New Roman"/>
          <w:lang w:val="uz-Cyrl-UZ"/>
        </w:rPr>
        <w:t xml:space="preserve"> </w:t>
      </w:r>
      <w:r w:rsidR="00FC59B7">
        <w:rPr>
          <w:rFonts w:asciiTheme="majorHAnsi" w:eastAsia="Calibri" w:hAnsiTheme="majorHAnsi" w:cs="Times New Roman"/>
          <w:lang w:val="uz-Cyrl-UZ"/>
        </w:rPr>
        <w:t xml:space="preserve">se </w:t>
      </w:r>
      <w:r w:rsidR="00265A0B">
        <w:rPr>
          <w:rFonts w:asciiTheme="majorHAnsi" w:eastAsia="Calibri" w:hAnsiTheme="majorHAnsi" w:cs="Times New Roman"/>
          <w:lang w:val="uz-Cyrl-UZ"/>
        </w:rPr>
        <w:t>emite</w:t>
      </w:r>
      <w:r w:rsidR="00FC59B7">
        <w:rPr>
          <w:rFonts w:asciiTheme="majorHAnsi" w:eastAsia="Calibri" w:hAnsiTheme="majorHAnsi" w:cs="Times New Roman"/>
          <w:lang w:val="uz-Cyrl-UZ"/>
        </w:rPr>
        <w:t>r</w:t>
      </w:r>
      <w:r w:rsidR="00265A0B">
        <w:rPr>
          <w:rFonts w:asciiTheme="majorHAnsi" w:eastAsia="Calibri" w:hAnsiTheme="majorHAnsi" w:cs="Times New Roman"/>
          <w:lang w:val="uz-Cyrl-UZ"/>
        </w:rPr>
        <w:t xml:space="preserve"> žalio.</w:t>
      </w:r>
    </w:p>
    <w:p w:rsidR="00E65EBC" w:rsidRDefault="00062756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>Sud je smatrao</w:t>
      </w:r>
      <w:r w:rsidR="00265A0B">
        <w:rPr>
          <w:rFonts w:asciiTheme="majorHAnsi" w:eastAsia="Calibri" w:hAnsiTheme="majorHAnsi" w:cs="Times New Roman"/>
          <w:lang w:val="uz-Cyrl-UZ"/>
        </w:rPr>
        <w:t xml:space="preserve"> da emiter nije oklevetao telefonsku kompaniju. </w:t>
      </w:r>
      <w:r>
        <w:rPr>
          <w:rFonts w:asciiTheme="majorHAnsi" w:eastAsia="Calibri" w:hAnsiTheme="majorHAnsi" w:cs="Times New Roman"/>
          <w:lang w:val="uz-Cyrl-UZ"/>
        </w:rPr>
        <w:t xml:space="preserve">Sud je smatrao da, iako je scena bila pretjerano dramatična, pa čak i neukusna, </w:t>
      </w:r>
      <w:r w:rsidR="00734793">
        <w:rPr>
          <w:rFonts w:asciiTheme="majorHAnsi" w:eastAsia="Calibri" w:hAnsiTheme="majorHAnsi" w:cs="Times New Roman"/>
          <w:lang w:val="uz-Cyrl-UZ"/>
        </w:rPr>
        <w:t xml:space="preserve">jer </w:t>
      </w:r>
      <w:r>
        <w:rPr>
          <w:rFonts w:asciiTheme="majorHAnsi" w:eastAsia="Calibri" w:hAnsiTheme="majorHAnsi" w:cs="Times New Roman"/>
          <w:lang w:val="uz-Cyrl-UZ"/>
        </w:rPr>
        <w:t>se uvod fokusirao na smrt starice, to je bilo irelevantno za pitanje da li je prilog bio klevetnički. Sud je</w:t>
      </w:r>
      <w:r w:rsidR="00515462">
        <w:rPr>
          <w:rFonts w:asciiTheme="majorHAnsi" w:eastAsia="Calibri" w:hAnsiTheme="majorHAnsi" w:cs="Times New Roman"/>
          <w:lang w:val="uz-Cyrl-UZ"/>
        </w:rPr>
        <w:t xml:space="preserve"> našao da je</w:t>
      </w:r>
      <w:r>
        <w:rPr>
          <w:rFonts w:asciiTheme="majorHAnsi" w:eastAsia="Calibri" w:hAnsiTheme="majorHAnsi" w:cs="Times New Roman"/>
          <w:lang w:val="uz-Cyrl-UZ"/>
        </w:rPr>
        <w:t xml:space="preserve"> sporna scena bila </w:t>
      </w:r>
      <w:r>
        <w:rPr>
          <w:rFonts w:asciiTheme="majorHAnsi" w:eastAsia="Calibri" w:hAnsiTheme="majorHAnsi" w:cs="Times New Roman"/>
          <w:lang w:val="uz-Cyrl-UZ"/>
        </w:rPr>
        <w:lastRenderedPageBreak/>
        <w:t>potkrijepljena činjenicama – telekomunikaciona kompanija zaista velikim dijelom nije uspjela da obezbijedi prihvatljiv nivo usluge. Sud je razmatrao važnu ulogu emitera u pružanju informacija o pitanjima od javnog interesa, kao i pravo javnosti na</w:t>
      </w:r>
      <w:r w:rsidR="00515462">
        <w:rPr>
          <w:rFonts w:asciiTheme="majorHAnsi" w:eastAsia="Calibri" w:hAnsiTheme="majorHAnsi" w:cs="Times New Roman"/>
          <w:lang w:val="uz-Cyrl-UZ"/>
        </w:rPr>
        <w:t xml:space="preserve"> informisanje. Apelacioni sud je izričito odbacio tvrdnje</w:t>
      </w:r>
      <w:r w:rsidRPr="00062756">
        <w:rPr>
          <w:rFonts w:asciiTheme="majorHAnsi" w:eastAsia="Calibri" w:hAnsiTheme="majorHAnsi" w:cs="Times New Roman"/>
          <w:lang w:val="uz-Cyrl-UZ"/>
        </w:rPr>
        <w:t xml:space="preserve"> kompanije da </w:t>
      </w:r>
      <w:r w:rsidR="0014664D">
        <w:rPr>
          <w:rFonts w:asciiTheme="majorHAnsi" w:eastAsia="Calibri" w:hAnsiTheme="majorHAnsi" w:cs="Times New Roman"/>
          <w:lang w:val="uz-Cyrl-UZ"/>
        </w:rPr>
        <w:t xml:space="preserve">je </w:t>
      </w:r>
      <w:r w:rsidRPr="00062756">
        <w:rPr>
          <w:rFonts w:asciiTheme="majorHAnsi" w:eastAsia="Calibri" w:hAnsiTheme="majorHAnsi" w:cs="Times New Roman"/>
          <w:lang w:val="uz-Cyrl-UZ"/>
        </w:rPr>
        <w:t>emiter treba</w:t>
      </w:r>
      <w:r w:rsidR="00FC59B7">
        <w:rPr>
          <w:rFonts w:asciiTheme="majorHAnsi" w:eastAsia="Calibri" w:hAnsiTheme="majorHAnsi" w:cs="Times New Roman"/>
          <w:lang w:val="uz-Cyrl-UZ"/>
        </w:rPr>
        <w:t>l</w:t>
      </w:r>
      <w:r w:rsidRPr="00062756">
        <w:rPr>
          <w:rFonts w:asciiTheme="majorHAnsi" w:eastAsia="Calibri" w:hAnsiTheme="majorHAnsi" w:cs="Times New Roman"/>
          <w:lang w:val="uz-Cyrl-UZ"/>
        </w:rPr>
        <w:t>o da</w:t>
      </w:r>
      <w:r w:rsidR="00734793">
        <w:rPr>
          <w:rFonts w:asciiTheme="majorHAnsi" w:eastAsia="Calibri" w:hAnsiTheme="majorHAnsi" w:cs="Times New Roman"/>
          <w:lang w:val="uz-Cyrl-UZ"/>
        </w:rPr>
        <w:t xml:space="preserve"> iscrpno istraži sve činjenice</w:t>
      </w:r>
      <w:r w:rsidRPr="00062756">
        <w:rPr>
          <w:rFonts w:asciiTheme="majorHAnsi" w:eastAsia="Calibri" w:hAnsiTheme="majorHAnsi" w:cs="Times New Roman"/>
          <w:lang w:val="uz-Cyrl-UZ"/>
        </w:rPr>
        <w:t xml:space="preserve"> priče </w:t>
      </w:r>
      <w:r w:rsidR="0014664D">
        <w:rPr>
          <w:rFonts w:asciiTheme="majorHAnsi" w:eastAsia="Calibri" w:hAnsiTheme="majorHAnsi" w:cs="Times New Roman"/>
          <w:lang w:val="uz-Cyrl-UZ"/>
        </w:rPr>
        <w:t xml:space="preserve">prije </w:t>
      </w:r>
      <w:r w:rsidRPr="00062756">
        <w:rPr>
          <w:rFonts w:asciiTheme="majorHAnsi" w:eastAsia="Calibri" w:hAnsiTheme="majorHAnsi" w:cs="Times New Roman"/>
          <w:lang w:val="uz-Cyrl-UZ"/>
        </w:rPr>
        <w:t>izveštavanja</w:t>
      </w:r>
      <w:r w:rsidR="0014664D">
        <w:rPr>
          <w:rFonts w:asciiTheme="majorHAnsi" w:eastAsia="Calibri" w:hAnsiTheme="majorHAnsi" w:cs="Times New Roman"/>
          <w:lang w:val="uz-Cyrl-UZ"/>
        </w:rPr>
        <w:t>, smatrajući da bi to naškodilo mogućnostima emitera da informiše, i nije se sl</w:t>
      </w:r>
      <w:r w:rsidR="00FC59B7">
        <w:rPr>
          <w:rFonts w:asciiTheme="majorHAnsi" w:eastAsia="Calibri" w:hAnsiTheme="majorHAnsi" w:cs="Times New Roman"/>
          <w:lang w:val="uz-Cyrl-UZ"/>
        </w:rPr>
        <w:t>ožio s tim da je emiter bio dužan da objavi</w:t>
      </w:r>
      <w:r w:rsidR="0014664D">
        <w:rPr>
          <w:rFonts w:asciiTheme="majorHAnsi" w:eastAsia="Calibri" w:hAnsiTheme="majorHAnsi" w:cs="Times New Roman"/>
          <w:lang w:val="uz-Cyrl-UZ"/>
        </w:rPr>
        <w:t xml:space="preserve"> čitav – veoma dugačak – odgovor kompanije. Umjesto toga, Sud je smatrao da </w:t>
      </w:r>
      <w:r w:rsidR="00FC59B7">
        <w:rPr>
          <w:rFonts w:asciiTheme="majorHAnsi" w:eastAsia="Calibri" w:hAnsiTheme="majorHAnsi" w:cs="Times New Roman"/>
          <w:lang w:val="uz-Cyrl-UZ"/>
        </w:rPr>
        <w:t>je urednička sloboda emiteru omogućila da odluči šta da uključi</w:t>
      </w:r>
      <w:r w:rsidR="0014664D">
        <w:rPr>
          <w:rFonts w:asciiTheme="majorHAnsi" w:eastAsia="Calibri" w:hAnsiTheme="majorHAnsi" w:cs="Times New Roman"/>
          <w:lang w:val="uz-Cyrl-UZ"/>
        </w:rPr>
        <w:t xml:space="preserve"> u priču a šta ne, dok god je izvještaj kao cjelina </w:t>
      </w:r>
      <w:r w:rsidR="00734793">
        <w:rPr>
          <w:rFonts w:asciiTheme="majorHAnsi" w:eastAsia="Calibri" w:hAnsiTheme="majorHAnsi" w:cs="Times New Roman"/>
          <w:lang w:val="uz-Cyrl-UZ"/>
        </w:rPr>
        <w:t xml:space="preserve">bio </w:t>
      </w:r>
      <w:r w:rsidR="0014664D">
        <w:rPr>
          <w:rFonts w:asciiTheme="majorHAnsi" w:eastAsia="Calibri" w:hAnsiTheme="majorHAnsi" w:cs="Times New Roman"/>
          <w:lang w:val="uz-Cyrl-UZ"/>
        </w:rPr>
        <w:t>istinit i odgovor kompanije nije pogrešno predstavljen.</w:t>
      </w:r>
    </w:p>
    <w:p w:rsidR="0014664D" w:rsidRPr="0014664D" w:rsidRDefault="0014664D" w:rsidP="0014664D">
      <w:pPr>
        <w:pStyle w:val="ListParagraph"/>
        <w:numPr>
          <w:ilvl w:val="0"/>
          <w:numId w:val="12"/>
        </w:numPr>
        <w:tabs>
          <w:tab w:val="left" w:pos="7295"/>
        </w:tabs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14664D">
        <w:rPr>
          <w:rFonts w:asciiTheme="majorHAnsi" w:eastAsia="Calibri" w:hAnsiTheme="majorHAnsi" w:cs="Times New Roman"/>
          <w:b/>
          <w:i/>
          <w:lang w:val="uz-Cyrl-UZ"/>
        </w:rPr>
        <w:t xml:space="preserve">O’Brien protiv RTÉ, </w:t>
      </w:r>
      <w:r w:rsidR="00EE635D">
        <w:rPr>
          <w:rFonts w:asciiTheme="majorHAnsi" w:eastAsia="Calibri" w:hAnsiTheme="majorHAnsi" w:cs="Times New Roman"/>
          <w:lang w:val="uz-Cyrl-UZ"/>
        </w:rPr>
        <w:t xml:space="preserve">Visoki sud Irske </w:t>
      </w:r>
      <w:r w:rsidR="00EE635D" w:rsidRPr="00A30CE3">
        <w:rPr>
          <w:rFonts w:ascii="Cambria" w:eastAsia="Droid Sans Fallback" w:hAnsi="Cambria" w:cs="Calibri"/>
          <w:color w:val="00000A"/>
        </w:rPr>
        <w:t>[2015]</w:t>
      </w:r>
      <w:r w:rsidRPr="0014664D">
        <w:rPr>
          <w:rFonts w:asciiTheme="majorHAnsi" w:eastAsia="Calibri" w:hAnsiTheme="majorHAnsi" w:cs="Times New Roman"/>
          <w:lang w:val="uz-Cyrl-UZ"/>
        </w:rPr>
        <w:t>,</w:t>
      </w:r>
      <w:r w:rsidRPr="0014664D">
        <w:rPr>
          <w:rFonts w:asciiTheme="majorHAnsi" w:eastAsia="Calibri" w:hAnsiTheme="majorHAnsi" w:cs="Times New Roman"/>
          <w:b/>
          <w:i/>
          <w:lang w:val="uz-Cyrl-UZ"/>
        </w:rPr>
        <w:t xml:space="preserve"> </w:t>
      </w:r>
      <w:r w:rsidRPr="0014664D">
        <w:rPr>
          <w:rFonts w:asciiTheme="majorHAnsi" w:eastAsia="Calibri" w:hAnsiTheme="majorHAnsi" w:cs="Times New Roman"/>
          <w:lang w:val="uz-Cyrl-UZ"/>
        </w:rPr>
        <w:t xml:space="preserve">21. maj 2015: </w:t>
      </w:r>
      <w:r w:rsidR="00EE635D" w:rsidRPr="00EE635D">
        <w:rPr>
          <w:rFonts w:asciiTheme="majorHAnsi" w:eastAsia="Calibri" w:hAnsiTheme="majorHAnsi" w:cs="Times New Roman"/>
          <w:highlight w:val="yellow"/>
          <w:lang w:val="uz-Cyrl-UZ"/>
        </w:rPr>
        <w:t xml:space="preserve">emitovanje </w:t>
      </w:r>
      <w:r w:rsidRPr="00EE635D">
        <w:rPr>
          <w:rFonts w:asciiTheme="majorHAnsi" w:eastAsia="Calibri" w:hAnsiTheme="majorHAnsi" w:cs="Times New Roman"/>
          <w:highlight w:val="yellow"/>
          <w:lang w:val="uz-Cyrl-UZ"/>
        </w:rPr>
        <w:t xml:space="preserve">povjerljivih finansijskih </w:t>
      </w:r>
      <w:r w:rsidR="00515462">
        <w:rPr>
          <w:rFonts w:asciiTheme="majorHAnsi" w:eastAsia="Calibri" w:hAnsiTheme="majorHAnsi" w:cs="Times New Roman"/>
          <w:highlight w:val="yellow"/>
          <w:lang w:val="uz-Cyrl-UZ"/>
        </w:rPr>
        <w:t xml:space="preserve">podataka </w:t>
      </w:r>
      <w:r w:rsidR="007C439F">
        <w:rPr>
          <w:rFonts w:asciiTheme="majorHAnsi" w:eastAsia="Calibri" w:hAnsiTheme="majorHAnsi" w:cs="Times New Roman"/>
          <w:highlight w:val="yellow"/>
          <w:lang w:val="uz-Cyrl-UZ"/>
        </w:rPr>
        <w:t xml:space="preserve">koje </w:t>
      </w:r>
      <w:r w:rsidRPr="00EE635D">
        <w:rPr>
          <w:rFonts w:asciiTheme="majorHAnsi" w:eastAsia="Calibri" w:hAnsiTheme="majorHAnsi" w:cs="Times New Roman"/>
          <w:highlight w:val="yellow"/>
          <w:lang w:val="uz-Cyrl-UZ"/>
        </w:rPr>
        <w:t>nije u javnom interesu</w:t>
      </w:r>
    </w:p>
    <w:p w:rsidR="0071131D" w:rsidRDefault="008F0B58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 xml:space="preserve">Ovaj slučaj se ticao pitanja da li je </w:t>
      </w:r>
      <w:r w:rsidR="006F3BED">
        <w:rPr>
          <w:rFonts w:asciiTheme="majorHAnsi" w:eastAsia="Calibri" w:hAnsiTheme="majorHAnsi" w:cs="Times New Roman"/>
          <w:lang w:val="uz-Cyrl-UZ"/>
        </w:rPr>
        <w:t xml:space="preserve">irski </w:t>
      </w:r>
      <w:r w:rsidR="006F3BED" w:rsidRPr="001907A6">
        <w:rPr>
          <w:rFonts w:asciiTheme="majorHAnsi" w:eastAsia="Calibri" w:hAnsiTheme="majorHAnsi" w:cs="Times New Roman"/>
          <w:lang w:val="uz-Cyrl-UZ"/>
        </w:rPr>
        <w:t>javni emiter</w:t>
      </w:r>
      <w:r>
        <w:rPr>
          <w:rFonts w:asciiTheme="majorHAnsi" w:eastAsia="Calibri" w:hAnsiTheme="majorHAnsi" w:cs="Times New Roman"/>
          <w:lang w:val="uz-Cyrl-UZ"/>
        </w:rPr>
        <w:t xml:space="preserve">, </w:t>
      </w:r>
      <w:r w:rsidRPr="008F0B58">
        <w:rPr>
          <w:rFonts w:asciiTheme="majorHAnsi" w:eastAsia="Calibri" w:hAnsiTheme="majorHAnsi" w:cs="Times New Roman"/>
          <w:i/>
          <w:lang w:val="uz-Cyrl-UZ"/>
        </w:rPr>
        <w:t>RTÉ,</w:t>
      </w:r>
      <w:r>
        <w:rPr>
          <w:rFonts w:asciiTheme="majorHAnsi" w:eastAsia="Calibri" w:hAnsiTheme="majorHAnsi" w:cs="Times New Roman"/>
          <w:i/>
          <w:lang w:val="uz-Cyrl-UZ"/>
        </w:rPr>
        <w:t xml:space="preserve"> </w:t>
      </w:r>
      <w:r w:rsidR="005918E0">
        <w:rPr>
          <w:rFonts w:asciiTheme="majorHAnsi" w:eastAsia="Calibri" w:hAnsiTheme="majorHAnsi" w:cs="Times New Roman"/>
          <w:lang w:val="uz-Cyrl-UZ"/>
        </w:rPr>
        <w:t xml:space="preserve">smio </w:t>
      </w:r>
      <w:r>
        <w:rPr>
          <w:rFonts w:asciiTheme="majorHAnsi" w:eastAsia="Calibri" w:hAnsiTheme="majorHAnsi" w:cs="Times New Roman"/>
          <w:lang w:val="uz-Cyrl-UZ"/>
        </w:rPr>
        <w:t xml:space="preserve">da emituje povjerljive informacije koje su se ticale finansijskih poslova uglednog irskog biznismena, </w:t>
      </w:r>
      <w:r w:rsidRPr="008F0B58">
        <w:rPr>
          <w:rFonts w:asciiTheme="majorHAnsi" w:eastAsia="Calibri" w:hAnsiTheme="majorHAnsi" w:cs="Times New Roman"/>
          <w:i/>
          <w:lang w:val="uz-Cyrl-UZ"/>
        </w:rPr>
        <w:t>Denis-a O’Brien-a</w:t>
      </w:r>
      <w:r>
        <w:rPr>
          <w:rFonts w:asciiTheme="majorHAnsi" w:eastAsia="Calibri" w:hAnsiTheme="majorHAnsi" w:cs="Times New Roman"/>
          <w:i/>
          <w:lang w:val="uz-Cyrl-UZ"/>
        </w:rPr>
        <w:t xml:space="preserve"> </w:t>
      </w:r>
      <w:r>
        <w:rPr>
          <w:rFonts w:asciiTheme="majorHAnsi" w:eastAsia="Calibri" w:hAnsiTheme="majorHAnsi" w:cs="Times New Roman"/>
          <w:lang w:val="uz-Cyrl-UZ"/>
        </w:rPr>
        <w:t>(najbogatijeg</w:t>
      </w:r>
      <w:r w:rsidRPr="008F0B58">
        <w:rPr>
          <w:rFonts w:asciiTheme="majorHAnsi" w:eastAsia="Calibri" w:hAnsiTheme="majorHAnsi" w:cs="Times New Roman"/>
          <w:lang w:val="uz-Cyrl-UZ"/>
        </w:rPr>
        <w:t xml:space="preserve"> čovjek</w:t>
      </w:r>
      <w:r>
        <w:rPr>
          <w:rFonts w:asciiTheme="majorHAnsi" w:eastAsia="Calibri" w:hAnsiTheme="majorHAnsi" w:cs="Times New Roman"/>
          <w:lang w:val="uz-Cyrl-UZ"/>
        </w:rPr>
        <w:t>a</w:t>
      </w:r>
      <w:r w:rsidRPr="008F0B58">
        <w:rPr>
          <w:rFonts w:asciiTheme="majorHAnsi" w:eastAsia="Calibri" w:hAnsiTheme="majorHAnsi" w:cs="Times New Roman"/>
          <w:lang w:val="uz-Cyrl-UZ"/>
        </w:rPr>
        <w:t xml:space="preserve"> u Irskoj)</w:t>
      </w:r>
      <w:r>
        <w:rPr>
          <w:rFonts w:asciiTheme="majorHAnsi" w:eastAsia="Calibri" w:hAnsiTheme="majorHAnsi" w:cs="Times New Roman"/>
          <w:lang w:val="uz-Cyrl-UZ"/>
        </w:rPr>
        <w:t xml:space="preserve">. </w:t>
      </w:r>
      <w:r w:rsidRPr="008F0B58">
        <w:rPr>
          <w:rFonts w:asciiTheme="majorHAnsi" w:eastAsia="Calibri" w:hAnsiTheme="majorHAnsi" w:cs="Times New Roman"/>
          <w:i/>
          <w:lang w:val="uz-Cyrl-UZ"/>
        </w:rPr>
        <w:t>O’Brien</w:t>
      </w:r>
      <w:r>
        <w:rPr>
          <w:rFonts w:asciiTheme="majorHAnsi" w:eastAsia="Calibri" w:hAnsiTheme="majorHAnsi" w:cs="Times New Roman"/>
          <w:lang w:val="uz-Cyrl-UZ"/>
        </w:rPr>
        <w:t xml:space="preserve"> je imao veliki dug prema banci </w:t>
      </w:r>
      <w:r w:rsidR="00EE635D">
        <w:rPr>
          <w:rFonts w:asciiTheme="majorHAnsi" w:eastAsia="Calibri" w:hAnsiTheme="majorHAnsi" w:cs="Times New Roman"/>
          <w:lang w:val="uz-Cyrl-UZ"/>
        </w:rPr>
        <w:t xml:space="preserve">čiji je vlasnik država Irska, i iz </w:t>
      </w:r>
      <w:r w:rsidR="00EE635D" w:rsidRPr="008F0B58">
        <w:rPr>
          <w:rFonts w:asciiTheme="majorHAnsi" w:eastAsia="Calibri" w:hAnsiTheme="majorHAnsi" w:cs="Times New Roman"/>
          <w:i/>
          <w:lang w:val="uz-Cyrl-UZ"/>
        </w:rPr>
        <w:t>RTÉ</w:t>
      </w:r>
      <w:r w:rsidR="00EE635D">
        <w:rPr>
          <w:rFonts w:asciiTheme="majorHAnsi" w:eastAsia="Calibri" w:hAnsiTheme="majorHAnsi" w:cs="Times New Roman"/>
          <w:i/>
          <w:lang w:val="uz-Cyrl-UZ"/>
        </w:rPr>
        <w:t xml:space="preserve"> </w:t>
      </w:r>
      <w:r w:rsidR="00EE635D">
        <w:rPr>
          <w:rFonts w:asciiTheme="majorHAnsi" w:eastAsia="Calibri" w:hAnsiTheme="majorHAnsi" w:cs="Times New Roman"/>
          <w:lang w:val="uz-Cyrl-UZ"/>
        </w:rPr>
        <w:t xml:space="preserve">su pisali i njemu i banci da ih obavijeste o tome da će emitovati vijest koja je sadržala povjerljive bankovne informacije, i tražili su komentar. U prilogu je navedeno da je došlo do propusta uprave banke, što je, budući da je banka bila u vlasništvu države, koštalo poreske obveznike. </w:t>
      </w:r>
      <w:r w:rsidR="00EE635D" w:rsidRPr="00EE635D">
        <w:rPr>
          <w:rFonts w:asciiTheme="majorHAnsi" w:eastAsia="Calibri" w:hAnsiTheme="majorHAnsi" w:cs="Times New Roman"/>
          <w:i/>
          <w:lang w:val="uz-Cyrl-UZ"/>
        </w:rPr>
        <w:t>O’Brien</w:t>
      </w:r>
      <w:r w:rsidR="00EE635D">
        <w:rPr>
          <w:rFonts w:asciiTheme="majorHAnsi" w:eastAsia="Calibri" w:hAnsiTheme="majorHAnsi" w:cs="Times New Roman"/>
          <w:lang w:val="uz-Cyrl-UZ"/>
        </w:rPr>
        <w:t>-ovi advokati su se žalili Visokom sudu pokušavajući da zaustave emitovanje povjerljivih informacija.</w:t>
      </w:r>
    </w:p>
    <w:p w:rsidR="00EE635D" w:rsidRPr="00F66123" w:rsidRDefault="00FC59B7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>Visoki s</w:t>
      </w:r>
      <w:r w:rsidR="006F3BED">
        <w:rPr>
          <w:rFonts w:asciiTheme="majorHAnsi" w:eastAsia="Calibri" w:hAnsiTheme="majorHAnsi" w:cs="Times New Roman"/>
          <w:lang w:val="uz-Cyrl-UZ"/>
        </w:rPr>
        <w:t>ud</w:t>
      </w:r>
      <w:r>
        <w:rPr>
          <w:rFonts w:asciiTheme="majorHAnsi" w:eastAsia="Calibri" w:hAnsiTheme="majorHAnsi" w:cs="Times New Roman"/>
          <w:lang w:val="uz-Cyrl-UZ"/>
        </w:rPr>
        <w:t xml:space="preserve"> Irske</w:t>
      </w:r>
      <w:r w:rsidR="006F3BED">
        <w:rPr>
          <w:rFonts w:asciiTheme="majorHAnsi" w:eastAsia="Calibri" w:hAnsiTheme="majorHAnsi" w:cs="Times New Roman"/>
          <w:lang w:val="uz-Cyrl-UZ"/>
        </w:rPr>
        <w:t xml:space="preserve"> je smatrao da se informacije nisu mogle emitovati, osim djelova koje je javnosti </w:t>
      </w:r>
      <w:r w:rsidR="005918E0">
        <w:rPr>
          <w:rFonts w:asciiTheme="majorHAnsi" w:eastAsia="Calibri" w:hAnsiTheme="majorHAnsi" w:cs="Times New Roman"/>
          <w:lang w:val="uz-Cyrl-UZ"/>
        </w:rPr>
        <w:t xml:space="preserve">ranije </w:t>
      </w:r>
      <w:r w:rsidR="006F3BED">
        <w:rPr>
          <w:rFonts w:asciiTheme="majorHAnsi" w:eastAsia="Calibri" w:hAnsiTheme="majorHAnsi" w:cs="Times New Roman"/>
          <w:lang w:val="uz-Cyrl-UZ"/>
        </w:rPr>
        <w:t xml:space="preserve">otkrio jedan poslanik. Sud je napomenuo da je </w:t>
      </w:r>
      <w:r w:rsidR="006F3BED" w:rsidRPr="008F0B58">
        <w:rPr>
          <w:rFonts w:asciiTheme="majorHAnsi" w:eastAsia="Calibri" w:hAnsiTheme="majorHAnsi" w:cs="Times New Roman"/>
          <w:i/>
          <w:lang w:val="uz-Cyrl-UZ"/>
        </w:rPr>
        <w:t>O’Brien</w:t>
      </w:r>
      <w:r w:rsidR="006F3BED">
        <w:rPr>
          <w:rFonts w:asciiTheme="majorHAnsi" w:eastAsia="Calibri" w:hAnsiTheme="majorHAnsi" w:cs="Times New Roman"/>
          <w:lang w:val="uz-Cyrl-UZ"/>
        </w:rPr>
        <w:t xml:space="preserve"> biznismen </w:t>
      </w:r>
      <w:r w:rsidR="00DB7F1F">
        <w:rPr>
          <w:rFonts w:asciiTheme="majorHAnsi" w:eastAsia="Calibri" w:hAnsiTheme="majorHAnsi" w:cs="Times New Roman"/>
          <w:lang w:val="uz-Cyrl-UZ"/>
        </w:rPr>
        <w:t>domaćeg i međunarod</w:t>
      </w:r>
      <w:r w:rsidR="006F3BED">
        <w:rPr>
          <w:rFonts w:asciiTheme="majorHAnsi" w:eastAsia="Calibri" w:hAnsiTheme="majorHAnsi" w:cs="Times New Roman"/>
          <w:lang w:val="uz-Cyrl-UZ"/>
        </w:rPr>
        <w:t>nog renomea i bez sumnje javna ličnost. Sud je takođe smatrao da, prema zakonu, svako ko pokušava da spriječi medije da nešto objave treba da „</w:t>
      </w:r>
      <w:r w:rsidR="001907A6">
        <w:rPr>
          <w:rFonts w:asciiTheme="majorHAnsi" w:eastAsia="Calibri" w:hAnsiTheme="majorHAnsi" w:cs="Times New Roman"/>
          <w:lang w:val="uz-Cyrl-UZ"/>
        </w:rPr>
        <w:t>pruži</w:t>
      </w:r>
      <w:r w:rsidR="006F3BED">
        <w:rPr>
          <w:rFonts w:asciiTheme="majorHAnsi" w:eastAsia="Calibri" w:hAnsiTheme="majorHAnsi" w:cs="Times New Roman"/>
          <w:lang w:val="uz-Cyrl-UZ"/>
        </w:rPr>
        <w:t xml:space="preserve">, uz odgovarajuće dokaze, </w:t>
      </w:r>
      <w:r w:rsidR="001907A6">
        <w:rPr>
          <w:rFonts w:asciiTheme="majorHAnsi" w:eastAsia="Calibri" w:hAnsiTheme="majorHAnsi" w:cs="Times New Roman"/>
          <w:lang w:val="uz-Cyrl-UZ"/>
        </w:rPr>
        <w:t xml:space="preserve">ubjedljive razloge za ograničavanje slobode izražavanja štampe“. Trebalo je odmjeriti pravo </w:t>
      </w:r>
      <w:r w:rsidR="001907A6" w:rsidRPr="008F0B58">
        <w:rPr>
          <w:rFonts w:asciiTheme="majorHAnsi" w:eastAsia="Calibri" w:hAnsiTheme="majorHAnsi" w:cs="Times New Roman"/>
          <w:i/>
          <w:lang w:val="uz-Cyrl-UZ"/>
        </w:rPr>
        <w:t>O’Brien-a</w:t>
      </w:r>
      <w:r w:rsidR="001907A6">
        <w:rPr>
          <w:rFonts w:asciiTheme="majorHAnsi" w:eastAsia="Calibri" w:hAnsiTheme="majorHAnsi" w:cs="Times New Roman"/>
          <w:i/>
          <w:lang w:val="uz-Cyrl-UZ"/>
        </w:rPr>
        <w:t xml:space="preserve"> </w:t>
      </w:r>
      <w:r w:rsidR="001907A6">
        <w:rPr>
          <w:rFonts w:asciiTheme="majorHAnsi" w:eastAsia="Calibri" w:hAnsiTheme="majorHAnsi" w:cs="Times New Roman"/>
          <w:lang w:val="uz-Cyrl-UZ"/>
        </w:rPr>
        <w:t>na pri</w:t>
      </w:r>
      <w:r w:rsidR="001907A6" w:rsidRPr="00DB7F1F">
        <w:rPr>
          <w:rFonts w:asciiTheme="majorHAnsi" w:eastAsia="Calibri" w:hAnsiTheme="majorHAnsi" w:cs="Times New Roman"/>
          <w:lang w:val="uz-Cyrl-UZ"/>
        </w:rPr>
        <w:t>vatnost naspram prava emitera na slobodu izražavanja. Sud je u ovom slučaju primijetio da je „</w:t>
      </w:r>
      <w:r w:rsidR="007E3885" w:rsidRPr="00DB7F1F">
        <w:rPr>
          <w:rFonts w:asciiTheme="majorHAnsi" w:eastAsia="Calibri" w:hAnsiTheme="majorHAnsi" w:cs="Times New Roman"/>
          <w:lang w:val="uz-Cyrl-UZ"/>
        </w:rPr>
        <w:t xml:space="preserve">veza između javnog interesa u navodnim propustima </w:t>
      </w:r>
      <w:r w:rsidR="00DB7F1F" w:rsidRPr="00DB7F1F">
        <w:rPr>
          <w:rFonts w:asciiTheme="majorHAnsi" w:eastAsia="Calibri" w:hAnsiTheme="majorHAnsi" w:cs="Times New Roman"/>
          <w:lang w:val="uz-Cyrl-UZ"/>
        </w:rPr>
        <w:t>banke</w:t>
      </w:r>
      <w:r w:rsidR="007E3885" w:rsidRPr="00DB7F1F">
        <w:rPr>
          <w:rFonts w:asciiTheme="majorHAnsi" w:eastAsia="Calibri" w:hAnsiTheme="majorHAnsi" w:cs="Times New Roman"/>
          <w:lang w:val="uz-Cyrl-UZ"/>
        </w:rPr>
        <w:t xml:space="preserve"> i O’Brien-ovim ličnim poslovima sa </w:t>
      </w:r>
      <w:r w:rsidR="007E3885" w:rsidRPr="00DB7F1F">
        <w:rPr>
          <w:rFonts w:asciiTheme="majorHAnsi" w:eastAsia="Calibri" w:hAnsiTheme="majorHAnsi" w:cs="Times New Roman"/>
          <w:i/>
          <w:lang w:val="uz-Cyrl-UZ"/>
        </w:rPr>
        <w:t xml:space="preserve">IBRC </w:t>
      </w:r>
      <w:r w:rsidR="007E3885" w:rsidRPr="00DB7F1F">
        <w:rPr>
          <w:rFonts w:asciiTheme="majorHAnsi" w:eastAsia="Calibri" w:hAnsiTheme="majorHAnsi" w:cs="Times New Roman"/>
          <w:lang w:val="uz-Cyrl-UZ"/>
        </w:rPr>
        <w:t>bila slaba, ako je uopšte i postojala</w:t>
      </w:r>
      <w:r w:rsidR="007E3885" w:rsidRPr="00DB7F1F">
        <w:rPr>
          <w:rFonts w:asciiTheme="majorHAnsi" w:eastAsia="Calibri" w:hAnsiTheme="majorHAnsi" w:cs="Times New Roman"/>
          <w:i/>
          <w:lang w:val="uz-Cyrl-UZ"/>
        </w:rPr>
        <w:t>“</w:t>
      </w:r>
      <w:r w:rsidR="007E3885" w:rsidRPr="00DB7F1F">
        <w:rPr>
          <w:rFonts w:asciiTheme="majorHAnsi" w:eastAsia="Calibri" w:hAnsiTheme="majorHAnsi" w:cs="Times New Roman"/>
          <w:lang w:val="uz-Cyrl-UZ"/>
        </w:rPr>
        <w:t>.</w:t>
      </w:r>
      <w:r w:rsidR="007E3885">
        <w:rPr>
          <w:rFonts w:asciiTheme="majorHAnsi" w:eastAsia="Calibri" w:hAnsiTheme="majorHAnsi" w:cs="Times New Roman"/>
          <w:lang w:val="uz-Cyrl-UZ"/>
        </w:rPr>
        <w:t xml:space="preserve"> </w:t>
      </w:r>
      <w:r w:rsidR="00DB7F1F">
        <w:rPr>
          <w:rFonts w:asciiTheme="majorHAnsi" w:eastAsia="Calibri" w:hAnsiTheme="majorHAnsi" w:cs="Times New Roman"/>
          <w:lang w:val="uz-Cyrl-UZ"/>
        </w:rPr>
        <w:t>Budući da se nije moglo d</w:t>
      </w:r>
      <w:r w:rsidR="00F66123">
        <w:rPr>
          <w:rFonts w:asciiTheme="majorHAnsi" w:eastAsia="Calibri" w:hAnsiTheme="majorHAnsi" w:cs="Times New Roman"/>
          <w:lang w:val="uz-Cyrl-UZ"/>
        </w:rPr>
        <w:t>okazati postojanje takve veze, banka je imala „ubje</w:t>
      </w:r>
      <w:r>
        <w:rPr>
          <w:rFonts w:asciiTheme="majorHAnsi" w:eastAsia="Calibri" w:hAnsiTheme="majorHAnsi" w:cs="Times New Roman"/>
          <w:lang w:val="uz-Cyrl-UZ"/>
        </w:rPr>
        <w:t>dljive razloge“ da zaustavi</w:t>
      </w:r>
      <w:r w:rsidR="00F66123">
        <w:rPr>
          <w:rFonts w:asciiTheme="majorHAnsi" w:eastAsia="Calibri" w:hAnsiTheme="majorHAnsi" w:cs="Times New Roman"/>
          <w:lang w:val="uz-Cyrl-UZ"/>
        </w:rPr>
        <w:t xml:space="preserve"> emitovanje povjerljivih podataka. Sud je smatrao da</w:t>
      </w:r>
      <w:r>
        <w:rPr>
          <w:rFonts w:asciiTheme="majorHAnsi" w:eastAsia="Calibri" w:hAnsiTheme="majorHAnsi" w:cs="Times New Roman"/>
          <w:lang w:val="uz-Cyrl-UZ"/>
        </w:rPr>
        <w:t xml:space="preserve"> bi</w:t>
      </w:r>
      <w:r w:rsidR="00F66123">
        <w:rPr>
          <w:rFonts w:asciiTheme="majorHAnsi" w:eastAsia="Calibri" w:hAnsiTheme="majorHAnsi" w:cs="Times New Roman"/>
          <w:lang w:val="uz-Cyrl-UZ"/>
        </w:rPr>
        <w:t xml:space="preserve">, u suprotnom, „značajni detalji privatnih bankarskih poslova“ </w:t>
      </w:r>
      <w:r w:rsidR="00F66123" w:rsidRPr="008F0B58">
        <w:rPr>
          <w:rFonts w:asciiTheme="majorHAnsi" w:eastAsia="Calibri" w:hAnsiTheme="majorHAnsi" w:cs="Times New Roman"/>
          <w:i/>
          <w:lang w:val="uz-Cyrl-UZ"/>
        </w:rPr>
        <w:t>O’Brien-a</w:t>
      </w:r>
      <w:r w:rsidR="00F66123">
        <w:rPr>
          <w:rFonts w:asciiTheme="majorHAnsi" w:eastAsia="Calibri" w:hAnsiTheme="majorHAnsi" w:cs="Times New Roman"/>
          <w:i/>
          <w:lang w:val="uz-Cyrl-UZ"/>
        </w:rPr>
        <w:t xml:space="preserve"> </w:t>
      </w:r>
      <w:r w:rsidR="00F66123">
        <w:rPr>
          <w:rFonts w:asciiTheme="majorHAnsi" w:eastAsia="Calibri" w:hAnsiTheme="majorHAnsi" w:cs="Times New Roman"/>
          <w:lang w:val="uz-Cyrl-UZ"/>
        </w:rPr>
        <w:t>postali javni što bi mu nanijelo „neprocjenjiv gubitak“.</w:t>
      </w:r>
    </w:p>
    <w:p w:rsidR="007C7474" w:rsidRPr="007C7474" w:rsidRDefault="0068173B" w:rsidP="007C7474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  <w:lang w:val="uz-Cyrl-UZ"/>
        </w:rPr>
      </w:pPr>
      <w:r w:rsidRPr="007C7474">
        <w:rPr>
          <w:rFonts w:asciiTheme="majorHAnsi" w:eastAsia="Calibri" w:hAnsiTheme="majorHAnsi" w:cs="Times New Roman"/>
          <w:b/>
          <w:i/>
          <w:lang w:val="uz-Cyrl-UZ"/>
        </w:rPr>
        <w:t>CCCP i</w:t>
      </w:r>
      <w:r w:rsidR="00F66123" w:rsidRPr="007C7474">
        <w:rPr>
          <w:rFonts w:asciiTheme="majorHAnsi" w:eastAsia="Calibri" w:hAnsiTheme="majorHAnsi" w:cs="Times New Roman"/>
          <w:b/>
          <w:i/>
          <w:lang w:val="uz-Cyrl-UZ"/>
        </w:rPr>
        <w:t xml:space="preserve"> KRO-NCRV protiv Media Markt,</w:t>
      </w:r>
      <w:r w:rsidR="00F66123" w:rsidRPr="007C7474">
        <w:rPr>
          <w:rFonts w:asciiTheme="majorHAnsi" w:eastAsia="Calibri" w:hAnsiTheme="majorHAnsi" w:cs="Times New Roman"/>
          <w:lang w:val="uz-Cyrl-UZ"/>
        </w:rPr>
        <w:t xml:space="preserve"> Amsterdamski apelacioni sud (predmet br. 200.157.976-01), 28. april 2015: </w:t>
      </w:r>
      <w:r w:rsidR="007C7474" w:rsidRPr="007C7474">
        <w:rPr>
          <w:rFonts w:asciiTheme="majorHAnsi" w:eastAsia="Calibri" w:hAnsiTheme="majorHAnsi" w:cs="Times New Roman"/>
          <w:highlight w:val="yellow"/>
          <w:lang w:val="uz-Cyrl-UZ"/>
        </w:rPr>
        <w:t>emitovanje nelegalno pribavljenog snimka nije moglo biti zaustavljeno</w:t>
      </w:r>
    </w:p>
    <w:p w:rsidR="003C272D" w:rsidRPr="007C7474" w:rsidRDefault="00583125" w:rsidP="007C7474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7C7474">
        <w:rPr>
          <w:rFonts w:asciiTheme="majorHAnsi" w:eastAsia="Calibri" w:hAnsiTheme="majorHAnsi" w:cs="Times New Roman"/>
          <w:lang w:val="uz-Cyrl-UZ"/>
        </w:rPr>
        <w:t xml:space="preserve">Slučaj se ticao emitovanja TV programa o pravima potrošača čiji su djelovi snimljeni u </w:t>
      </w:r>
      <w:r w:rsidR="003C272D" w:rsidRPr="007C7474">
        <w:rPr>
          <w:rFonts w:asciiTheme="majorHAnsi" w:eastAsia="Calibri" w:hAnsiTheme="majorHAnsi" w:cs="Times New Roman"/>
          <w:lang w:val="uz-Cyrl-UZ"/>
        </w:rPr>
        <w:t xml:space="preserve">maloprodajnom objektu. Novinar je htio da testira da li bi osobi koja nosi odjeću koja podsjeća na službenu uniformu bilo dozvoljeno da radi u nekoliko kompanija. </w:t>
      </w:r>
      <w:r w:rsidR="00DB7F1F" w:rsidRPr="007C7474">
        <w:rPr>
          <w:rFonts w:asciiTheme="majorHAnsi" w:eastAsia="Calibri" w:hAnsiTheme="majorHAnsi" w:cs="Times New Roman"/>
          <w:lang w:val="uz-Cyrl-UZ"/>
        </w:rPr>
        <w:t>Djelovi su snimani</w:t>
      </w:r>
      <w:r w:rsidR="003C272D" w:rsidRPr="007C7474">
        <w:rPr>
          <w:rFonts w:asciiTheme="majorHAnsi" w:eastAsia="Calibri" w:hAnsiTheme="majorHAnsi" w:cs="Times New Roman"/>
          <w:lang w:val="uz-Cyrl-UZ"/>
        </w:rPr>
        <w:t xml:space="preserve"> na gradilištu, u javnom prevozu i, između ostalog, u maloprodajnom objektu. Menadžer radnje u kojoj su snimali se protivio eksperimentu i zahtijevao je da mu predaju snimak, navodeći da je snimanje unutar radnji zabranjeno (na vratima je stajala naljepnica „zabranjeno snimanje“). Novinar je to odbio i radnja je pokrenula tužbu. Sud je u prvom stepenu donio zabranu kojom je emiterima naređeno da ne emituju snimak, ali je u drugom stepenu (nakon žalbe) ova odluka preinačena.</w:t>
      </w:r>
    </w:p>
    <w:p w:rsidR="000830F1" w:rsidRDefault="0068173B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68173B">
        <w:rPr>
          <w:rFonts w:asciiTheme="majorHAnsi" w:eastAsia="Calibri" w:hAnsiTheme="majorHAnsi" w:cs="Times New Roman"/>
          <w:lang w:val="uz-Cyrl-UZ"/>
        </w:rPr>
        <w:lastRenderedPageBreak/>
        <w:t>Apelacioni sud je potvrdio da je snimak snimljen bez saglasnosti vlasnika</w:t>
      </w:r>
      <w:r>
        <w:rPr>
          <w:rFonts w:asciiTheme="majorHAnsi" w:eastAsia="Calibri" w:hAnsiTheme="majorHAnsi" w:cs="Times New Roman"/>
          <w:lang w:val="uz-Cyrl-UZ"/>
        </w:rPr>
        <w:t xml:space="preserve"> radnje</w:t>
      </w:r>
      <w:r w:rsidRPr="0068173B">
        <w:rPr>
          <w:rFonts w:asciiTheme="majorHAnsi" w:eastAsia="Calibri" w:hAnsiTheme="majorHAnsi" w:cs="Times New Roman"/>
          <w:lang w:val="uz-Cyrl-UZ"/>
        </w:rPr>
        <w:t xml:space="preserve">, </w:t>
      </w:r>
      <w:r w:rsidR="00BE7EAC">
        <w:rPr>
          <w:rFonts w:asciiTheme="majorHAnsi" w:eastAsia="Calibri" w:hAnsiTheme="majorHAnsi" w:cs="Times New Roman"/>
          <w:lang w:val="uz-Cyrl-UZ"/>
        </w:rPr>
        <w:t xml:space="preserve">što je </w:t>
      </w:r>
      <w:r w:rsidRPr="0068173B">
        <w:rPr>
          <w:rFonts w:asciiTheme="majorHAnsi" w:eastAsia="Calibri" w:hAnsiTheme="majorHAnsi" w:cs="Times New Roman"/>
          <w:lang w:val="uz-Cyrl-UZ"/>
        </w:rPr>
        <w:t>predstavlja</w:t>
      </w:r>
      <w:r>
        <w:rPr>
          <w:rFonts w:asciiTheme="majorHAnsi" w:eastAsia="Calibri" w:hAnsiTheme="majorHAnsi" w:cs="Times New Roman"/>
          <w:lang w:val="uz-Cyrl-UZ"/>
        </w:rPr>
        <w:t>o</w:t>
      </w:r>
      <w:r w:rsidRPr="0068173B">
        <w:rPr>
          <w:rFonts w:asciiTheme="majorHAnsi" w:eastAsia="Calibri" w:hAnsiTheme="majorHAnsi" w:cs="Times New Roman"/>
          <w:lang w:val="uz-Cyrl-UZ"/>
        </w:rPr>
        <w:t xml:space="preserve"> moguću povredu prava</w:t>
      </w:r>
      <w:r w:rsidR="005D064E">
        <w:rPr>
          <w:rFonts w:asciiTheme="majorHAnsi" w:eastAsia="Calibri" w:hAnsiTheme="majorHAnsi" w:cs="Times New Roman"/>
          <w:lang w:val="uz-Cyrl-UZ"/>
        </w:rPr>
        <w:t xml:space="preserve"> radnje</w:t>
      </w:r>
      <w:r w:rsidRPr="0068173B">
        <w:rPr>
          <w:rFonts w:asciiTheme="majorHAnsi" w:eastAsia="Calibri" w:hAnsiTheme="majorHAnsi" w:cs="Times New Roman"/>
          <w:lang w:val="uz-Cyrl-UZ"/>
        </w:rPr>
        <w:t>.</w:t>
      </w:r>
      <w:r w:rsidR="005D064E">
        <w:rPr>
          <w:rFonts w:asciiTheme="majorHAnsi" w:eastAsia="Calibri" w:hAnsiTheme="majorHAnsi" w:cs="Times New Roman"/>
          <w:lang w:val="uz-Cyrl-UZ"/>
        </w:rPr>
        <w:t xml:space="preserve"> Međutim, to samo po sebi nije bilo dovoljno </w:t>
      </w:r>
      <w:r w:rsidR="00722BE9">
        <w:rPr>
          <w:rFonts w:asciiTheme="majorHAnsi" w:eastAsia="Calibri" w:hAnsiTheme="majorHAnsi" w:cs="Times New Roman"/>
          <w:lang w:val="uz-Cyrl-UZ"/>
        </w:rPr>
        <w:t>da bi se opravdala zabrana emitovanja – takv</w:t>
      </w:r>
      <w:r w:rsidR="00DB7F1F">
        <w:rPr>
          <w:rFonts w:asciiTheme="majorHAnsi" w:eastAsia="Calibri" w:hAnsiTheme="majorHAnsi" w:cs="Times New Roman"/>
          <w:lang w:val="uz-Cyrl-UZ"/>
        </w:rPr>
        <w:t>a</w:t>
      </w:r>
      <w:r w:rsidR="00722BE9">
        <w:rPr>
          <w:rFonts w:asciiTheme="majorHAnsi" w:eastAsia="Calibri" w:hAnsiTheme="majorHAnsi" w:cs="Times New Roman"/>
          <w:lang w:val="uz-Cyrl-UZ"/>
        </w:rPr>
        <w:t xml:space="preserve"> pr</w:t>
      </w:r>
      <w:r w:rsidR="00DB7F1F">
        <w:rPr>
          <w:rFonts w:asciiTheme="majorHAnsi" w:eastAsia="Calibri" w:hAnsiTheme="majorHAnsi" w:cs="Times New Roman"/>
          <w:lang w:val="uz-Cyrl-UZ"/>
        </w:rPr>
        <w:t>esuda bi bila</w:t>
      </w:r>
      <w:r w:rsidR="00722BE9">
        <w:rPr>
          <w:rFonts w:asciiTheme="majorHAnsi" w:eastAsia="Calibri" w:hAnsiTheme="majorHAnsi" w:cs="Times New Roman"/>
          <w:lang w:val="uz-Cyrl-UZ"/>
        </w:rPr>
        <w:t xml:space="preserve"> jednak</w:t>
      </w:r>
      <w:r w:rsidR="00DB7F1F">
        <w:rPr>
          <w:rFonts w:asciiTheme="majorHAnsi" w:eastAsia="Calibri" w:hAnsiTheme="majorHAnsi" w:cs="Times New Roman"/>
          <w:lang w:val="uz-Cyrl-UZ"/>
        </w:rPr>
        <w:t>a</w:t>
      </w:r>
      <w:r w:rsidR="00722BE9">
        <w:rPr>
          <w:rFonts w:asciiTheme="majorHAnsi" w:eastAsia="Calibri" w:hAnsiTheme="majorHAnsi" w:cs="Times New Roman"/>
          <w:lang w:val="uz-Cyrl-UZ"/>
        </w:rPr>
        <w:t xml:space="preserve"> cenzuri. Oslanjajući se na presudu Evropskog suda za ljudska prava u slučaju </w:t>
      </w:r>
      <w:r w:rsidR="00722BE9" w:rsidRPr="00722BE9">
        <w:rPr>
          <w:rFonts w:asciiTheme="majorHAnsi" w:eastAsia="Calibri" w:hAnsiTheme="majorHAnsi" w:cs="Times New Roman"/>
          <w:i/>
          <w:lang w:val="uz-Cyrl-UZ"/>
        </w:rPr>
        <w:t>Mosley protiv Ujedinjenog kraljevstva</w:t>
      </w:r>
      <w:r w:rsidR="00722BE9">
        <w:rPr>
          <w:rFonts w:asciiTheme="majorHAnsi" w:eastAsia="Calibri" w:hAnsiTheme="majorHAnsi" w:cs="Times New Roman"/>
          <w:lang w:val="uz-Cyrl-UZ"/>
        </w:rPr>
        <w:t>, Sud je smatrao da procjenu o mogućim kršenjima prava treba vršiti nakon emitovanja. Sud je naglasio da novinari nijesu imali namjeru da predstave vlasnike radnje ili njene zaposlene u lošem svjetlu. Nije bilo naznaka da je nanesena šteta reputaciji radnje ili njenim posjetiocima.</w:t>
      </w:r>
    </w:p>
    <w:p w:rsidR="00722BE9" w:rsidRDefault="00722BE9" w:rsidP="00722BE9">
      <w:pPr>
        <w:pStyle w:val="ListParagraph"/>
        <w:numPr>
          <w:ilvl w:val="0"/>
          <w:numId w:val="12"/>
        </w:num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722BE9">
        <w:rPr>
          <w:rFonts w:asciiTheme="majorHAnsi" w:eastAsia="Calibri" w:hAnsiTheme="majorHAnsi" w:cs="Times New Roman"/>
          <w:b/>
          <w:i/>
          <w:lang w:val="uz-Cyrl-UZ"/>
        </w:rPr>
        <w:t xml:space="preserve">Gulati &amp; Ors protiv MGN doo, </w:t>
      </w:r>
      <w:r w:rsidRPr="00722BE9">
        <w:rPr>
          <w:rFonts w:ascii="Cambria" w:eastAsia="Droid Sans Fallback" w:hAnsi="Cambria" w:cs="Calibri"/>
          <w:color w:val="00000A"/>
          <w:lang w:val="uz-Cyrl-UZ"/>
        </w:rPr>
        <w:t xml:space="preserve">[2015] </w:t>
      </w:r>
      <w:r w:rsidRPr="00722BE9">
        <w:rPr>
          <w:rFonts w:asciiTheme="majorHAnsi" w:eastAsia="Calibri" w:hAnsiTheme="majorHAnsi" w:cs="Times New Roman"/>
          <w:lang w:val="uz-Cyrl-UZ"/>
        </w:rPr>
        <w:t>Visoki sud Engleske i Velsa 1482 (Kancelarsko odjeljenje):</w:t>
      </w:r>
      <w:r w:rsidR="00834BE1">
        <w:rPr>
          <w:rFonts w:asciiTheme="majorHAnsi" w:eastAsia="Calibri" w:hAnsiTheme="majorHAnsi" w:cs="Times New Roman"/>
          <w:lang w:val="uz-Cyrl-UZ"/>
        </w:rPr>
        <w:t xml:space="preserve"> </w:t>
      </w:r>
      <w:r w:rsidR="00834BE1" w:rsidRPr="00834BE1">
        <w:rPr>
          <w:rFonts w:asciiTheme="majorHAnsi" w:eastAsia="Calibri" w:hAnsiTheme="majorHAnsi" w:cs="Times New Roman"/>
          <w:highlight w:val="yellow"/>
          <w:lang w:val="uz-Cyrl-UZ"/>
        </w:rPr>
        <w:t>visok iznos naknade za štetu koji je dosuđen žrtvama „hakovanja telefona“ od strane novinara nije prekršio pravo na slobodu izražavanja</w:t>
      </w:r>
    </w:p>
    <w:p w:rsidR="00722BE9" w:rsidRDefault="00834BE1" w:rsidP="00722BE9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 xml:space="preserve">Ova presuda je jedna od brojnih u slučajevima dugotrajnog „hakovanja telefona“, </w:t>
      </w:r>
      <w:r w:rsidR="004A694E">
        <w:rPr>
          <w:rFonts w:asciiTheme="majorHAnsi" w:eastAsia="Calibri" w:hAnsiTheme="majorHAnsi" w:cs="Times New Roman"/>
          <w:lang w:val="uz-Cyrl-UZ"/>
        </w:rPr>
        <w:t xml:space="preserve">kada </w:t>
      </w:r>
      <w:r>
        <w:rPr>
          <w:rFonts w:asciiTheme="majorHAnsi" w:eastAsia="Calibri" w:hAnsiTheme="majorHAnsi" w:cs="Times New Roman"/>
          <w:lang w:val="uz-Cyrl-UZ"/>
        </w:rPr>
        <w:t xml:space="preserve">su novinari nezakonito pristupali glasovnoj pošti raznih ljudi u Ujedinjenom kraljevstvu. Tužitelji u ovom slučaju su bili </w:t>
      </w:r>
      <w:r w:rsidR="005909F5">
        <w:rPr>
          <w:rFonts w:asciiTheme="majorHAnsi" w:eastAsia="Calibri" w:hAnsiTheme="majorHAnsi" w:cs="Times New Roman"/>
          <w:lang w:val="uz-Cyrl-UZ"/>
        </w:rPr>
        <w:t>osmoro „slavnih ličnosti“ ili ljudi koji su sa njima radili (npr. njihovi agenti), i koji su tvrdili da im je prekršeno pravo na privatnost: prisluškivanjem glasovne pošte novinari su saz</w:t>
      </w:r>
      <w:r w:rsidR="007138CC">
        <w:rPr>
          <w:rFonts w:asciiTheme="majorHAnsi" w:eastAsia="Calibri" w:hAnsiTheme="majorHAnsi" w:cs="Times New Roman"/>
          <w:lang w:val="uz-Cyrl-UZ"/>
        </w:rPr>
        <w:t>nali intimne detalje o privatni</w:t>
      </w:r>
      <w:r w:rsidR="005909F5">
        <w:rPr>
          <w:rFonts w:asciiTheme="majorHAnsi" w:eastAsia="Calibri" w:hAnsiTheme="majorHAnsi" w:cs="Times New Roman"/>
          <w:lang w:val="uz-Cyrl-UZ"/>
        </w:rPr>
        <w:t>m životima slavnih ličnosti koje su kasnije objavljivali. Optuženi je bio izdavač tri</w:t>
      </w:r>
      <w:r w:rsidR="007138CC">
        <w:rPr>
          <w:rFonts w:asciiTheme="majorHAnsi" w:eastAsia="Calibri" w:hAnsiTheme="majorHAnsi" w:cs="Times New Roman"/>
          <w:lang w:val="uz-Cyrl-UZ"/>
        </w:rPr>
        <w:t xml:space="preserve"> dnevna lista. Iako je</w:t>
      </w:r>
      <w:r w:rsidR="005909F5">
        <w:rPr>
          <w:rFonts w:asciiTheme="majorHAnsi" w:eastAsia="Calibri" w:hAnsiTheme="majorHAnsi" w:cs="Times New Roman"/>
          <w:lang w:val="uz-Cyrl-UZ"/>
        </w:rPr>
        <w:t xml:space="preserve"> izdavač novina </w:t>
      </w:r>
      <w:r w:rsidR="007138CC">
        <w:rPr>
          <w:rFonts w:asciiTheme="majorHAnsi" w:eastAsia="Calibri" w:hAnsiTheme="majorHAnsi" w:cs="Times New Roman"/>
          <w:lang w:val="uz-Cyrl-UZ"/>
        </w:rPr>
        <w:t>prihvatio odgovornost</w:t>
      </w:r>
      <w:r w:rsidR="005909F5">
        <w:rPr>
          <w:rFonts w:asciiTheme="majorHAnsi" w:eastAsia="Calibri" w:hAnsiTheme="majorHAnsi" w:cs="Times New Roman"/>
          <w:lang w:val="uz-Cyrl-UZ"/>
        </w:rPr>
        <w:t xml:space="preserve"> za postupke novinara, protivio se izrečenom iznosu za naknadu štete koji je trebalo</w:t>
      </w:r>
      <w:r w:rsidR="00FC59B7">
        <w:rPr>
          <w:rFonts w:asciiTheme="majorHAnsi" w:eastAsia="Calibri" w:hAnsiTheme="majorHAnsi" w:cs="Times New Roman"/>
          <w:lang w:val="uz-Cyrl-UZ"/>
        </w:rPr>
        <w:t xml:space="preserve"> da plati</w:t>
      </w:r>
      <w:r w:rsidR="005909F5">
        <w:rPr>
          <w:rFonts w:asciiTheme="majorHAnsi" w:eastAsia="Calibri" w:hAnsiTheme="majorHAnsi" w:cs="Times New Roman"/>
          <w:lang w:val="uz-Cyrl-UZ"/>
        </w:rPr>
        <w:t xml:space="preserve"> zbog narušavanja privatnosti.</w:t>
      </w:r>
    </w:p>
    <w:p w:rsidR="00722BE9" w:rsidRDefault="007138CC" w:rsidP="00722BE9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 xml:space="preserve">Sud je smatrao da </w:t>
      </w:r>
      <w:r w:rsidR="005A3313">
        <w:rPr>
          <w:rFonts w:asciiTheme="majorHAnsi" w:eastAsia="Calibri" w:hAnsiTheme="majorHAnsi" w:cs="Times New Roman"/>
          <w:lang w:val="uz-Cyrl-UZ"/>
        </w:rPr>
        <w:t>je kod naknade za štetu trebalo uzeti u obzir da se narušavanje privatnosti dešavalo tokom dužeg vremenskog period</w:t>
      </w:r>
      <w:r w:rsidR="00CA1C7E">
        <w:rPr>
          <w:rFonts w:asciiTheme="majorHAnsi" w:eastAsia="Calibri" w:hAnsiTheme="majorHAnsi" w:cs="Times New Roman"/>
          <w:lang w:val="uz-Cyrl-UZ"/>
        </w:rPr>
        <w:t>a</w:t>
      </w:r>
      <w:r w:rsidR="005A3313">
        <w:rPr>
          <w:rFonts w:asciiTheme="majorHAnsi" w:eastAsia="Calibri" w:hAnsiTheme="majorHAnsi" w:cs="Times New Roman"/>
          <w:lang w:val="uz-Cyrl-UZ"/>
        </w:rPr>
        <w:t xml:space="preserve">, i smatrao je da se „tuženi (dnevni list) služio, tokom dužeg vremenskog perioda, velikim brojem ličnih i privatnih informacija koje je tretirao kao svoje i sa kojima je postupao onako kako je našao za shodno. Povreda prava je bila dugotrajna i ozbiljna“. Osim toga, Sud je smatrao da </w:t>
      </w:r>
      <w:r w:rsidR="004A694E">
        <w:rPr>
          <w:rFonts w:asciiTheme="majorHAnsi" w:eastAsia="Calibri" w:hAnsiTheme="majorHAnsi" w:cs="Times New Roman"/>
          <w:lang w:val="uz-Cyrl-UZ"/>
        </w:rPr>
        <w:t xml:space="preserve">bi žrtve trebale da dobiju naknadu štete za svaki </w:t>
      </w:r>
      <w:r w:rsidR="00875F46">
        <w:rPr>
          <w:rFonts w:asciiTheme="majorHAnsi" w:eastAsia="Calibri" w:hAnsiTheme="majorHAnsi" w:cs="Times New Roman"/>
          <w:lang w:val="uz-Cyrl-UZ"/>
        </w:rPr>
        <w:t>put kada su „hakovani“ – iako je</w:t>
      </w:r>
      <w:r w:rsidR="004A694E">
        <w:rPr>
          <w:rFonts w:asciiTheme="majorHAnsi" w:eastAsia="Calibri" w:hAnsiTheme="majorHAnsi" w:cs="Times New Roman"/>
          <w:lang w:val="uz-Cyrl-UZ"/>
        </w:rPr>
        <w:t xml:space="preserve"> ukupan iznos za naknadu štete trebao biti srazmjeran. Sud je smatrao da je narušavanje privatnosti predstavljalo ozbiljan problem koji je trebalo </w:t>
      </w:r>
      <w:r w:rsidR="00FC59B7">
        <w:rPr>
          <w:rFonts w:asciiTheme="majorHAnsi" w:eastAsia="Calibri" w:hAnsiTheme="majorHAnsi" w:cs="Times New Roman"/>
          <w:lang w:val="uz-Cyrl-UZ"/>
        </w:rPr>
        <w:t xml:space="preserve">i </w:t>
      </w:r>
      <w:r w:rsidR="004A694E">
        <w:rPr>
          <w:rFonts w:asciiTheme="majorHAnsi" w:eastAsia="Calibri" w:hAnsiTheme="majorHAnsi" w:cs="Times New Roman"/>
          <w:lang w:val="uz-Cyrl-UZ"/>
        </w:rPr>
        <w:t xml:space="preserve">tretirati kao takav. </w:t>
      </w:r>
      <w:r w:rsidR="001237AD">
        <w:rPr>
          <w:rFonts w:asciiTheme="majorHAnsi" w:eastAsia="Calibri" w:hAnsiTheme="majorHAnsi" w:cs="Times New Roman"/>
          <w:lang w:val="uz-Cyrl-UZ"/>
        </w:rPr>
        <w:t>Razmjera narušavanja je bila bez presedana i dešavala se gotovo svakodnevno, a Sud je uzeo u obzir da su novinari i dnevni list u početku negirali bilo kakvu zloupotrebu. Sve u svemu, S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ud </w:t>
      </w:r>
      <w:r w:rsidR="00511797">
        <w:rPr>
          <w:rFonts w:asciiTheme="majorHAnsi" w:eastAsia="Calibri" w:hAnsiTheme="majorHAnsi" w:cs="Times New Roman"/>
          <w:lang w:val="uz-Cyrl-UZ"/>
        </w:rPr>
        <w:t xml:space="preserve">je </w:t>
      </w:r>
      <w:r w:rsidR="001237AD" w:rsidRPr="001237AD">
        <w:rPr>
          <w:rFonts w:asciiTheme="majorHAnsi" w:eastAsia="Calibri" w:hAnsiTheme="majorHAnsi" w:cs="Times New Roman"/>
          <w:lang w:val="uz-Cyrl-UZ"/>
        </w:rPr>
        <w:t>svak</w:t>
      </w:r>
      <w:r w:rsidR="00A97D17">
        <w:rPr>
          <w:rFonts w:asciiTheme="majorHAnsi" w:eastAsia="Calibri" w:hAnsiTheme="majorHAnsi" w:cs="Times New Roman"/>
          <w:lang w:val="uz-Cyrl-UZ"/>
        </w:rPr>
        <w:t>oj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 od </w:t>
      </w:r>
      <w:r w:rsidR="00A97D17">
        <w:rPr>
          <w:rFonts w:asciiTheme="majorHAnsi" w:eastAsia="Calibri" w:hAnsiTheme="majorHAnsi" w:cs="Times New Roman"/>
          <w:lang w:val="uz-Cyrl-UZ"/>
        </w:rPr>
        <w:t>žrt</w:t>
      </w:r>
      <w:r w:rsidR="00511797">
        <w:rPr>
          <w:rFonts w:asciiTheme="majorHAnsi" w:eastAsia="Calibri" w:hAnsiTheme="majorHAnsi" w:cs="Times New Roman"/>
          <w:lang w:val="uz-Cyrl-UZ"/>
        </w:rPr>
        <w:t>a</w:t>
      </w:r>
      <w:r w:rsidR="00A97D17">
        <w:rPr>
          <w:rFonts w:asciiTheme="majorHAnsi" w:eastAsia="Calibri" w:hAnsiTheme="majorHAnsi" w:cs="Times New Roman"/>
          <w:lang w:val="uz-Cyrl-UZ"/>
        </w:rPr>
        <w:t>va dodijelio naknadu štete</w:t>
      </w:r>
      <w:r w:rsidR="00024F9A">
        <w:rPr>
          <w:rFonts w:asciiTheme="majorHAnsi" w:eastAsia="Calibri" w:hAnsiTheme="majorHAnsi" w:cs="Times New Roman"/>
          <w:lang w:val="uz-Cyrl-UZ"/>
        </w:rPr>
        <w:t xml:space="preserve"> u rasponu od 85</w:t>
      </w:r>
      <w:r w:rsidR="00024F9A">
        <w:rPr>
          <w:rFonts w:asciiTheme="majorHAnsi" w:eastAsia="Calibri" w:hAnsiTheme="majorHAnsi" w:cs="Times New Roman"/>
          <w:lang w:val="sr-Latn-ME"/>
        </w:rPr>
        <w:t>.</w:t>
      </w:r>
      <w:r w:rsidR="001237AD" w:rsidRPr="001237AD">
        <w:rPr>
          <w:rFonts w:asciiTheme="majorHAnsi" w:eastAsia="Calibri" w:hAnsiTheme="majorHAnsi" w:cs="Times New Roman"/>
          <w:lang w:val="uz-Cyrl-UZ"/>
        </w:rPr>
        <w:t>000</w:t>
      </w:r>
      <w:r w:rsidR="00EB6D91">
        <w:rPr>
          <w:rFonts w:asciiTheme="majorHAnsi" w:eastAsia="Calibri" w:hAnsiTheme="majorHAnsi" w:cs="Times New Roman"/>
          <w:lang w:val="uz-Cyrl-UZ"/>
        </w:rPr>
        <w:t xml:space="preserve"> </w:t>
      </w:r>
      <w:r w:rsidR="00A97D17" w:rsidRPr="00A97D17">
        <w:rPr>
          <w:rFonts w:asciiTheme="majorHAnsi" w:eastAsia="Calibri" w:hAnsiTheme="majorHAnsi" w:cs="Times New Roman"/>
          <w:lang w:val="uz-Cyrl-UZ"/>
        </w:rPr>
        <w:t xml:space="preserve">£ 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 (116.450</w:t>
      </w:r>
      <w:r w:rsidR="00EB6D91">
        <w:rPr>
          <w:rFonts w:asciiTheme="majorHAnsi" w:eastAsia="Calibri" w:hAnsiTheme="majorHAnsi" w:cs="Times New Roman"/>
          <w:lang w:val="uz-Cyrl-UZ"/>
        </w:rPr>
        <w:t xml:space="preserve"> </w:t>
      </w:r>
      <w:r w:rsidR="00A97D17" w:rsidRPr="00A97D17">
        <w:rPr>
          <w:rFonts w:asciiTheme="majorHAnsi" w:eastAsia="Calibri" w:hAnsiTheme="majorHAnsi" w:cs="Times New Roman"/>
          <w:lang w:val="uz-Cyrl-UZ"/>
        </w:rPr>
        <w:t>€</w:t>
      </w:r>
      <w:r w:rsidR="00024F9A">
        <w:rPr>
          <w:rFonts w:asciiTheme="majorHAnsi" w:eastAsia="Calibri" w:hAnsiTheme="majorHAnsi" w:cs="Times New Roman"/>
          <w:lang w:val="uz-Cyrl-UZ"/>
        </w:rPr>
        <w:t>) do 260</w:t>
      </w:r>
      <w:r w:rsidR="00024F9A">
        <w:rPr>
          <w:rFonts w:asciiTheme="majorHAnsi" w:eastAsia="Calibri" w:hAnsiTheme="majorHAnsi" w:cs="Times New Roman"/>
          <w:lang w:val="sr-Latn-ME"/>
        </w:rPr>
        <w:t>.</w:t>
      </w:r>
      <w:r w:rsidR="001237AD" w:rsidRPr="001237AD">
        <w:rPr>
          <w:rFonts w:asciiTheme="majorHAnsi" w:eastAsia="Calibri" w:hAnsiTheme="majorHAnsi" w:cs="Times New Roman"/>
          <w:lang w:val="uz-Cyrl-UZ"/>
        </w:rPr>
        <w:t>250</w:t>
      </w:r>
      <w:r w:rsidR="00EB6D91">
        <w:rPr>
          <w:rFonts w:asciiTheme="majorHAnsi" w:eastAsia="Calibri" w:hAnsiTheme="majorHAnsi" w:cs="Times New Roman"/>
          <w:lang w:val="uz-Cyrl-UZ"/>
        </w:rPr>
        <w:t xml:space="preserve"> </w:t>
      </w:r>
      <w:r w:rsidR="00A97D17" w:rsidRPr="00A97D17">
        <w:rPr>
          <w:rFonts w:asciiTheme="majorHAnsi" w:eastAsia="Calibri" w:hAnsiTheme="majorHAnsi" w:cs="Times New Roman"/>
          <w:lang w:val="uz-Cyrl-UZ"/>
        </w:rPr>
        <w:t xml:space="preserve">£ </w:t>
      </w:r>
      <w:r w:rsidR="00024F9A">
        <w:rPr>
          <w:rFonts w:asciiTheme="majorHAnsi" w:eastAsia="Calibri" w:hAnsiTheme="majorHAnsi" w:cs="Times New Roman"/>
          <w:lang w:val="uz-Cyrl-UZ"/>
        </w:rPr>
        <w:t>(356</w:t>
      </w:r>
      <w:r w:rsidR="00024F9A">
        <w:rPr>
          <w:rFonts w:asciiTheme="majorHAnsi" w:eastAsia="Calibri" w:hAnsiTheme="majorHAnsi" w:cs="Times New Roman"/>
          <w:lang w:val="sr-Latn-ME"/>
        </w:rPr>
        <w:t>.</w:t>
      </w:r>
      <w:r w:rsidR="00A97D17">
        <w:rPr>
          <w:rFonts w:asciiTheme="majorHAnsi" w:eastAsia="Calibri" w:hAnsiTheme="majorHAnsi" w:cs="Times New Roman"/>
          <w:lang w:val="uz-Cyrl-UZ"/>
        </w:rPr>
        <w:t>540</w:t>
      </w:r>
      <w:r w:rsidR="00EB6D91">
        <w:rPr>
          <w:rFonts w:asciiTheme="majorHAnsi" w:eastAsia="Calibri" w:hAnsiTheme="majorHAnsi" w:cs="Times New Roman"/>
          <w:lang w:val="uz-Cyrl-UZ"/>
        </w:rPr>
        <w:t xml:space="preserve"> </w:t>
      </w:r>
      <w:r w:rsidR="00A97D17">
        <w:rPr>
          <w:rFonts w:asciiTheme="majorHAnsi" w:eastAsia="Calibri" w:hAnsiTheme="majorHAnsi" w:cs="Times New Roman"/>
          <w:lang w:val="uz-Cyrl-UZ"/>
        </w:rPr>
        <w:t>€)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. Ovaj </w:t>
      </w:r>
      <w:r w:rsidR="00A97D17">
        <w:rPr>
          <w:rFonts w:asciiTheme="majorHAnsi" w:eastAsia="Calibri" w:hAnsiTheme="majorHAnsi" w:cs="Times New Roman"/>
          <w:lang w:val="uz-Cyrl-UZ"/>
        </w:rPr>
        <w:t xml:space="preserve">iznos je </w:t>
      </w:r>
      <w:r w:rsidR="00EB6D91">
        <w:rPr>
          <w:rFonts w:asciiTheme="majorHAnsi" w:eastAsia="Calibri" w:hAnsiTheme="majorHAnsi" w:cs="Times New Roman"/>
          <w:lang w:val="uz-Cyrl-UZ"/>
        </w:rPr>
        <w:t xml:space="preserve">nadmašio 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prethodne najviše </w:t>
      </w:r>
      <w:r w:rsidR="00A97D17">
        <w:rPr>
          <w:rFonts w:asciiTheme="majorHAnsi" w:eastAsia="Calibri" w:hAnsiTheme="majorHAnsi" w:cs="Times New Roman"/>
          <w:lang w:val="uz-Cyrl-UZ"/>
        </w:rPr>
        <w:t xml:space="preserve">iznose naknade za </w:t>
      </w:r>
      <w:r w:rsidR="001237AD" w:rsidRPr="001237AD">
        <w:rPr>
          <w:rFonts w:asciiTheme="majorHAnsi" w:eastAsia="Calibri" w:hAnsiTheme="majorHAnsi" w:cs="Times New Roman"/>
          <w:lang w:val="uz-Cyrl-UZ"/>
        </w:rPr>
        <w:t>štet</w:t>
      </w:r>
      <w:r w:rsidR="00A97D17">
        <w:rPr>
          <w:rFonts w:asciiTheme="majorHAnsi" w:eastAsia="Calibri" w:hAnsiTheme="majorHAnsi" w:cs="Times New Roman"/>
          <w:lang w:val="uz-Cyrl-UZ"/>
        </w:rPr>
        <w:t>u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 </w:t>
      </w:r>
      <w:r w:rsidR="00A97D17">
        <w:rPr>
          <w:rFonts w:asciiTheme="majorHAnsi" w:eastAsia="Calibri" w:hAnsiTheme="majorHAnsi" w:cs="Times New Roman"/>
          <w:lang w:val="uz-Cyrl-UZ"/>
        </w:rPr>
        <w:t xml:space="preserve">zbog narušavanja </w:t>
      </w:r>
      <w:r w:rsidR="001237AD" w:rsidRPr="001237AD">
        <w:rPr>
          <w:rFonts w:asciiTheme="majorHAnsi" w:eastAsia="Calibri" w:hAnsiTheme="majorHAnsi" w:cs="Times New Roman"/>
          <w:lang w:val="uz-Cyrl-UZ"/>
        </w:rPr>
        <w:t>privatnost</w:t>
      </w:r>
      <w:r w:rsidR="00A97D17">
        <w:rPr>
          <w:rFonts w:asciiTheme="majorHAnsi" w:eastAsia="Calibri" w:hAnsiTheme="majorHAnsi" w:cs="Times New Roman"/>
          <w:lang w:val="uz-Cyrl-UZ"/>
        </w:rPr>
        <w:t>i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 od strane</w:t>
      </w:r>
      <w:r w:rsidR="00A97D17">
        <w:rPr>
          <w:rFonts w:asciiTheme="majorHAnsi" w:eastAsia="Calibri" w:hAnsiTheme="majorHAnsi" w:cs="Times New Roman"/>
          <w:lang w:val="uz-Cyrl-UZ"/>
        </w:rPr>
        <w:t xml:space="preserve"> medija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, </w:t>
      </w:r>
      <w:r w:rsidR="00EB6D91">
        <w:rPr>
          <w:rFonts w:asciiTheme="majorHAnsi" w:eastAsia="Calibri" w:hAnsiTheme="majorHAnsi" w:cs="Times New Roman"/>
          <w:lang w:val="uz-Cyrl-UZ"/>
        </w:rPr>
        <w:t>koji</w:t>
      </w:r>
      <w:r w:rsidR="00A97D17">
        <w:rPr>
          <w:rFonts w:asciiTheme="majorHAnsi" w:eastAsia="Calibri" w:hAnsiTheme="majorHAnsi" w:cs="Times New Roman"/>
          <w:lang w:val="uz-Cyrl-UZ"/>
        </w:rPr>
        <w:t xml:space="preserve"> je </w:t>
      </w:r>
      <w:r w:rsidR="00511797">
        <w:rPr>
          <w:rFonts w:asciiTheme="majorHAnsi" w:eastAsia="Calibri" w:hAnsiTheme="majorHAnsi" w:cs="Times New Roman"/>
          <w:lang w:val="uz-Cyrl-UZ"/>
        </w:rPr>
        <w:t xml:space="preserve">prije toga </w:t>
      </w:r>
      <w:r w:rsidR="00EB6D91">
        <w:rPr>
          <w:rFonts w:asciiTheme="majorHAnsi" w:eastAsia="Calibri" w:hAnsiTheme="majorHAnsi" w:cs="Times New Roman"/>
          <w:lang w:val="uz-Cyrl-UZ"/>
        </w:rPr>
        <w:t>bio</w:t>
      </w:r>
      <w:r w:rsidR="00A97D17">
        <w:rPr>
          <w:rFonts w:asciiTheme="majorHAnsi" w:eastAsia="Calibri" w:hAnsiTheme="majorHAnsi" w:cs="Times New Roman"/>
          <w:lang w:val="uz-Cyrl-UZ"/>
        </w:rPr>
        <w:t xml:space="preserve"> </w:t>
      </w:r>
      <w:r w:rsidR="00024F9A">
        <w:rPr>
          <w:rFonts w:asciiTheme="majorHAnsi" w:eastAsia="Calibri" w:hAnsiTheme="majorHAnsi" w:cs="Times New Roman"/>
          <w:lang w:val="uz-Cyrl-UZ"/>
        </w:rPr>
        <w:t>60</w:t>
      </w:r>
      <w:r w:rsidR="00024F9A">
        <w:rPr>
          <w:rFonts w:asciiTheme="majorHAnsi" w:eastAsia="Calibri" w:hAnsiTheme="majorHAnsi" w:cs="Times New Roman"/>
          <w:lang w:val="sr-Latn-ME"/>
        </w:rPr>
        <w:t>.</w:t>
      </w:r>
      <w:r w:rsidR="001237AD" w:rsidRPr="001237AD">
        <w:rPr>
          <w:rFonts w:asciiTheme="majorHAnsi" w:eastAsia="Calibri" w:hAnsiTheme="majorHAnsi" w:cs="Times New Roman"/>
          <w:lang w:val="uz-Cyrl-UZ"/>
        </w:rPr>
        <w:t>000</w:t>
      </w:r>
      <w:r w:rsidR="00EB6D91">
        <w:rPr>
          <w:rFonts w:asciiTheme="majorHAnsi" w:eastAsia="Calibri" w:hAnsiTheme="majorHAnsi" w:cs="Times New Roman"/>
          <w:lang w:val="uz-Cyrl-UZ"/>
        </w:rPr>
        <w:t xml:space="preserve"> </w:t>
      </w:r>
      <w:r w:rsidR="00A97D17" w:rsidRPr="00A97D17">
        <w:rPr>
          <w:rFonts w:asciiTheme="majorHAnsi" w:eastAsia="Calibri" w:hAnsiTheme="majorHAnsi" w:cs="Times New Roman"/>
          <w:lang w:val="uz-Cyrl-UZ"/>
        </w:rPr>
        <w:t xml:space="preserve">£ </w:t>
      </w:r>
      <w:r w:rsidR="00024F9A">
        <w:rPr>
          <w:rFonts w:asciiTheme="majorHAnsi" w:eastAsia="Calibri" w:hAnsiTheme="majorHAnsi" w:cs="Times New Roman"/>
          <w:lang w:val="uz-Cyrl-UZ"/>
        </w:rPr>
        <w:t xml:space="preserve"> (82</w:t>
      </w:r>
      <w:r w:rsidR="00024F9A">
        <w:rPr>
          <w:rFonts w:asciiTheme="majorHAnsi" w:eastAsia="Calibri" w:hAnsiTheme="majorHAnsi" w:cs="Times New Roman"/>
          <w:lang w:val="sr-Latn-ME"/>
        </w:rPr>
        <w:t>.</w:t>
      </w:r>
      <w:bookmarkStart w:id="0" w:name="_GoBack"/>
      <w:bookmarkEnd w:id="0"/>
      <w:r w:rsidR="001237AD" w:rsidRPr="001237AD">
        <w:rPr>
          <w:rFonts w:asciiTheme="majorHAnsi" w:eastAsia="Calibri" w:hAnsiTheme="majorHAnsi" w:cs="Times New Roman"/>
          <w:lang w:val="uz-Cyrl-UZ"/>
        </w:rPr>
        <w:t xml:space="preserve">175 </w:t>
      </w:r>
      <w:r w:rsidR="00A97D17" w:rsidRPr="00A97D17">
        <w:rPr>
          <w:rFonts w:asciiTheme="majorHAnsi" w:eastAsia="Calibri" w:hAnsiTheme="majorHAnsi" w:cs="Times New Roman"/>
          <w:lang w:val="uz-Cyrl-UZ"/>
        </w:rPr>
        <w:t>€</w:t>
      </w:r>
      <w:r w:rsidR="001237AD" w:rsidRPr="001237AD">
        <w:rPr>
          <w:rFonts w:asciiTheme="majorHAnsi" w:eastAsia="Calibri" w:hAnsiTheme="majorHAnsi" w:cs="Times New Roman"/>
          <w:lang w:val="uz-Cyrl-UZ"/>
        </w:rPr>
        <w:t xml:space="preserve">) u predmetu u kojem je šef Formule 1 </w:t>
      </w:r>
      <w:r w:rsidR="00A97D17" w:rsidRPr="00A97D17">
        <w:rPr>
          <w:rFonts w:asciiTheme="majorHAnsi" w:eastAsia="Calibri" w:hAnsiTheme="majorHAnsi" w:cs="Times New Roman"/>
          <w:lang w:val="uz-Cyrl-UZ"/>
        </w:rPr>
        <w:t>snimljen</w:t>
      </w:r>
      <w:r w:rsidR="00FC59B7">
        <w:rPr>
          <w:rFonts w:asciiTheme="majorHAnsi" w:eastAsia="Calibri" w:hAnsiTheme="majorHAnsi" w:cs="Times New Roman"/>
          <w:lang w:val="uz-Cyrl-UZ"/>
        </w:rPr>
        <w:t xml:space="preserve"> prili</w:t>
      </w:r>
      <w:r w:rsidR="00A97D17">
        <w:rPr>
          <w:rFonts w:asciiTheme="majorHAnsi" w:eastAsia="Calibri" w:hAnsiTheme="majorHAnsi" w:cs="Times New Roman"/>
          <w:lang w:val="uz-Cyrl-UZ"/>
        </w:rPr>
        <w:t>kom orgija</w:t>
      </w:r>
      <w:r w:rsidR="001237AD" w:rsidRPr="001237AD">
        <w:rPr>
          <w:rFonts w:asciiTheme="majorHAnsi" w:eastAsia="Calibri" w:hAnsiTheme="majorHAnsi" w:cs="Times New Roman"/>
          <w:lang w:val="uz-Cyrl-UZ"/>
        </w:rPr>
        <w:t>.</w:t>
      </w:r>
    </w:p>
    <w:p w:rsidR="00722BE9" w:rsidRDefault="00722BE9" w:rsidP="00722BE9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</w:p>
    <w:p w:rsidR="000830F1" w:rsidRPr="00E65EBC" w:rsidRDefault="000830F1" w:rsidP="002D668C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E65EBC">
        <w:rPr>
          <w:rFonts w:asciiTheme="majorHAnsi" w:eastAsia="Calibri" w:hAnsiTheme="majorHAnsi" w:cs="Times New Roman"/>
          <w:b/>
          <w:i/>
          <w:lang w:val="uz-Cyrl-UZ"/>
        </w:rPr>
        <w:t>Pripremio: Peter Noorlander, direktor Media Legal Defence Initiative, u saradnji sa HRA</w:t>
      </w:r>
    </w:p>
    <w:p w:rsidR="000830F1" w:rsidRPr="00E65EBC" w:rsidRDefault="000830F1" w:rsidP="000830F1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E65EBC" w:rsidRDefault="00D06798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E65EBC">
        <w:rPr>
          <w:rFonts w:asciiTheme="majorHAnsi" w:eastAsia="Calibri" w:hAnsiTheme="majorHAns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399A6AA" wp14:editId="789BA078">
                <wp:simplePos x="0" y="0"/>
                <wp:positionH relativeFrom="column">
                  <wp:posOffset>-16866</wp:posOffset>
                </wp:positionH>
                <wp:positionV relativeFrom="paragraph">
                  <wp:posOffset>122555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35pt;margin-top:9.6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" strokecolor="#903" strokeweight="1.5pt"/>
            </w:pict>
          </mc:Fallback>
        </mc:AlternateContent>
      </w:r>
    </w:p>
    <w:p w:rsidR="000830F1" w:rsidRPr="00E65EBC" w:rsidRDefault="00AF1476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E65EBC">
        <w:rPr>
          <w:rFonts w:asciiTheme="majorHAnsi" w:hAnsiTheme="majorHAnsi"/>
          <w:noProof/>
          <w:lang w:val="sr-Latn-ME" w:eastAsia="sr-Latn-ME"/>
        </w:rPr>
        <w:drawing>
          <wp:anchor distT="0" distB="0" distL="0" distR="0" simplePos="0" relativeHeight="251665408" behindDoc="0" locked="0" layoutInCell="1" allowOverlap="0" wp14:anchorId="05681E33" wp14:editId="065B2EB9">
            <wp:simplePos x="0" y="0"/>
            <wp:positionH relativeFrom="column">
              <wp:posOffset>-96520</wp:posOffset>
            </wp:positionH>
            <wp:positionV relativeFrom="line">
              <wp:posOffset>41275</wp:posOffset>
            </wp:positionV>
            <wp:extent cx="833755" cy="621665"/>
            <wp:effectExtent l="0" t="0" r="0" b="6985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0F1" w:rsidRPr="00E65EBC" w:rsidRDefault="00960506" w:rsidP="000830F1">
      <w:pPr>
        <w:spacing w:after="0"/>
        <w:jc w:val="both"/>
        <w:rPr>
          <w:rFonts w:asciiTheme="majorHAnsi" w:eastAsia="Calibri" w:hAnsiTheme="majorHAnsi" w:cs="Times New Roman"/>
          <w:sz w:val="20"/>
          <w:szCs w:val="20"/>
          <w:lang w:val="uz-Cyrl-UZ"/>
        </w:rPr>
      </w:pPr>
      <w:r w:rsidRPr="00E65EBC">
        <w:rPr>
          <w:rFonts w:asciiTheme="majorHAnsi" w:eastAsia="Calibri" w:hAnsiTheme="majorHAnsi" w:cs="Times New Roman"/>
          <w:shd w:val="clear" w:color="auto" w:fill="FFFFFF"/>
          <w:lang w:val="uz-Cyrl-UZ"/>
        </w:rPr>
        <w:t xml:space="preserve"> </w:t>
      </w:r>
      <w:r w:rsidR="000830F1" w:rsidRPr="00E65EBC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Bilteni se objavljuju </w:t>
      </w:r>
      <w:r w:rsidR="005341D1" w:rsidRPr="00E65EBC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u okviru projekta „Podrška razumijevanju novinarske etike i slobode izražavanja“, koji finansira Ambasada Sjedinjenih Američkih Država u Podgorici</w:t>
      </w:r>
    </w:p>
    <w:p w:rsidR="00B760F2" w:rsidRPr="00E65EBC" w:rsidRDefault="00D06798" w:rsidP="009E513B">
      <w:pPr>
        <w:tabs>
          <w:tab w:val="left" w:pos="2038"/>
        </w:tabs>
        <w:rPr>
          <w:rFonts w:asciiTheme="majorHAnsi" w:hAnsiTheme="majorHAnsi"/>
          <w:lang w:val="uz-Cyrl-UZ"/>
        </w:rPr>
      </w:pPr>
      <w:r w:rsidRPr="00E65EBC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31C186A" wp14:editId="17E196F7">
                <wp:simplePos x="0" y="0"/>
                <wp:positionH relativeFrom="column">
                  <wp:posOffset>-753465</wp:posOffset>
                </wp:positionH>
                <wp:positionV relativeFrom="paragraph">
                  <wp:posOffset>212725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" o:spid="_x0000_s1026" type="#_x0000_t32" style="position:absolute;margin-left:-59.35pt;margin-top:16.7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" strokecolor="#903" strokeweight="1.5pt"/>
            </w:pict>
          </mc:Fallback>
        </mc:AlternateContent>
      </w:r>
      <w:r w:rsidR="009E513B" w:rsidRPr="00E65EBC">
        <w:rPr>
          <w:rFonts w:asciiTheme="majorHAnsi" w:hAnsiTheme="majorHAnsi"/>
          <w:lang w:val="uz-Cyrl-UZ"/>
        </w:rPr>
        <w:tab/>
      </w:r>
    </w:p>
    <w:sectPr w:rsidR="00B760F2" w:rsidRPr="00E65EBC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6EB7C51"/>
    <w:multiLevelType w:val="hybridMultilevel"/>
    <w:tmpl w:val="07665918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E5C98"/>
    <w:multiLevelType w:val="hybridMultilevel"/>
    <w:tmpl w:val="4AB21EDE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F54"/>
    <w:multiLevelType w:val="hybridMultilevel"/>
    <w:tmpl w:val="5D84F766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E0110"/>
    <w:multiLevelType w:val="hybridMultilevel"/>
    <w:tmpl w:val="7E52A0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603A3"/>
    <w:multiLevelType w:val="hybridMultilevel"/>
    <w:tmpl w:val="7CD099C6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04AE1"/>
    <w:multiLevelType w:val="hybridMultilevel"/>
    <w:tmpl w:val="5EAC77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231E5"/>
    <w:rsid w:val="00024F9A"/>
    <w:rsid w:val="00051DFC"/>
    <w:rsid w:val="00062756"/>
    <w:rsid w:val="000830F1"/>
    <w:rsid w:val="000934E9"/>
    <w:rsid w:val="000B56DB"/>
    <w:rsid w:val="000D2FBD"/>
    <w:rsid w:val="000D36D4"/>
    <w:rsid w:val="000E4531"/>
    <w:rsid w:val="000F1A8B"/>
    <w:rsid w:val="00102EDA"/>
    <w:rsid w:val="001074FD"/>
    <w:rsid w:val="0011616B"/>
    <w:rsid w:val="001237AD"/>
    <w:rsid w:val="0014664D"/>
    <w:rsid w:val="001907A6"/>
    <w:rsid w:val="001968DB"/>
    <w:rsid w:val="00201FBF"/>
    <w:rsid w:val="002068E5"/>
    <w:rsid w:val="0021289B"/>
    <w:rsid w:val="00234857"/>
    <w:rsid w:val="0024089C"/>
    <w:rsid w:val="002452A8"/>
    <w:rsid w:val="00265A0B"/>
    <w:rsid w:val="00296323"/>
    <w:rsid w:val="002964C5"/>
    <w:rsid w:val="002C66A1"/>
    <w:rsid w:val="002D668C"/>
    <w:rsid w:val="002F2D4A"/>
    <w:rsid w:val="0032148F"/>
    <w:rsid w:val="00374650"/>
    <w:rsid w:val="00391E2C"/>
    <w:rsid w:val="00395FE6"/>
    <w:rsid w:val="003A3723"/>
    <w:rsid w:val="003B0CDB"/>
    <w:rsid w:val="003C1ECA"/>
    <w:rsid w:val="003C272D"/>
    <w:rsid w:val="003D6F25"/>
    <w:rsid w:val="003F7BEB"/>
    <w:rsid w:val="00436BBF"/>
    <w:rsid w:val="004468DB"/>
    <w:rsid w:val="0045289D"/>
    <w:rsid w:val="0045682F"/>
    <w:rsid w:val="00457DCE"/>
    <w:rsid w:val="00475153"/>
    <w:rsid w:val="00490B1A"/>
    <w:rsid w:val="004A694E"/>
    <w:rsid w:val="004C2AA3"/>
    <w:rsid w:val="004E7B0C"/>
    <w:rsid w:val="004F554C"/>
    <w:rsid w:val="00500887"/>
    <w:rsid w:val="00511797"/>
    <w:rsid w:val="00515462"/>
    <w:rsid w:val="0053208B"/>
    <w:rsid w:val="005341D1"/>
    <w:rsid w:val="00540B6E"/>
    <w:rsid w:val="00552944"/>
    <w:rsid w:val="0057118C"/>
    <w:rsid w:val="00583125"/>
    <w:rsid w:val="00586EC2"/>
    <w:rsid w:val="005909F5"/>
    <w:rsid w:val="005918E0"/>
    <w:rsid w:val="00591E10"/>
    <w:rsid w:val="005977F1"/>
    <w:rsid w:val="005A3313"/>
    <w:rsid w:val="005A5CE5"/>
    <w:rsid w:val="005A67EF"/>
    <w:rsid w:val="005B096B"/>
    <w:rsid w:val="005D064E"/>
    <w:rsid w:val="00635C6A"/>
    <w:rsid w:val="0068173B"/>
    <w:rsid w:val="00683D1D"/>
    <w:rsid w:val="00685658"/>
    <w:rsid w:val="00691BDD"/>
    <w:rsid w:val="00694C26"/>
    <w:rsid w:val="006A610B"/>
    <w:rsid w:val="006B0020"/>
    <w:rsid w:val="006C2BC8"/>
    <w:rsid w:val="006C4577"/>
    <w:rsid w:val="006D3B20"/>
    <w:rsid w:val="006F3BED"/>
    <w:rsid w:val="00701C65"/>
    <w:rsid w:val="0070748C"/>
    <w:rsid w:val="0071131D"/>
    <w:rsid w:val="0071381B"/>
    <w:rsid w:val="007138CC"/>
    <w:rsid w:val="0071597C"/>
    <w:rsid w:val="00721384"/>
    <w:rsid w:val="00721F11"/>
    <w:rsid w:val="00722BE9"/>
    <w:rsid w:val="00727BFA"/>
    <w:rsid w:val="00734793"/>
    <w:rsid w:val="00762A5F"/>
    <w:rsid w:val="007C439F"/>
    <w:rsid w:val="007C7474"/>
    <w:rsid w:val="007D22EA"/>
    <w:rsid w:val="007E3885"/>
    <w:rsid w:val="007F1C7D"/>
    <w:rsid w:val="0080201B"/>
    <w:rsid w:val="008153A2"/>
    <w:rsid w:val="008170C7"/>
    <w:rsid w:val="0082227D"/>
    <w:rsid w:val="00834899"/>
    <w:rsid w:val="00834BE1"/>
    <w:rsid w:val="008435D5"/>
    <w:rsid w:val="00875F46"/>
    <w:rsid w:val="008A2D7D"/>
    <w:rsid w:val="008F0B58"/>
    <w:rsid w:val="0094579F"/>
    <w:rsid w:val="00951B41"/>
    <w:rsid w:val="00955E23"/>
    <w:rsid w:val="00960506"/>
    <w:rsid w:val="0096291E"/>
    <w:rsid w:val="009660FC"/>
    <w:rsid w:val="00983463"/>
    <w:rsid w:val="009C623C"/>
    <w:rsid w:val="009E19A5"/>
    <w:rsid w:val="009E513B"/>
    <w:rsid w:val="009E6AAE"/>
    <w:rsid w:val="00A02B81"/>
    <w:rsid w:val="00A1516C"/>
    <w:rsid w:val="00A3312B"/>
    <w:rsid w:val="00A76416"/>
    <w:rsid w:val="00A8251D"/>
    <w:rsid w:val="00A829CA"/>
    <w:rsid w:val="00A97D17"/>
    <w:rsid w:val="00AF1476"/>
    <w:rsid w:val="00B06AD0"/>
    <w:rsid w:val="00B140C0"/>
    <w:rsid w:val="00B15E8C"/>
    <w:rsid w:val="00B44E8F"/>
    <w:rsid w:val="00B760F2"/>
    <w:rsid w:val="00B76EC1"/>
    <w:rsid w:val="00BE7EAC"/>
    <w:rsid w:val="00BF4F9C"/>
    <w:rsid w:val="00C04CAD"/>
    <w:rsid w:val="00C1169F"/>
    <w:rsid w:val="00C2281E"/>
    <w:rsid w:val="00C47958"/>
    <w:rsid w:val="00C6706F"/>
    <w:rsid w:val="00C85D47"/>
    <w:rsid w:val="00C924DD"/>
    <w:rsid w:val="00CA1C7E"/>
    <w:rsid w:val="00CA2D92"/>
    <w:rsid w:val="00CD5535"/>
    <w:rsid w:val="00CE13BE"/>
    <w:rsid w:val="00D06798"/>
    <w:rsid w:val="00D238F7"/>
    <w:rsid w:val="00D323E0"/>
    <w:rsid w:val="00D34760"/>
    <w:rsid w:val="00D4465D"/>
    <w:rsid w:val="00D52FE9"/>
    <w:rsid w:val="00D53F99"/>
    <w:rsid w:val="00D554FB"/>
    <w:rsid w:val="00D65A8D"/>
    <w:rsid w:val="00D9406F"/>
    <w:rsid w:val="00D95638"/>
    <w:rsid w:val="00D97514"/>
    <w:rsid w:val="00DB209A"/>
    <w:rsid w:val="00DB7F1F"/>
    <w:rsid w:val="00DC2899"/>
    <w:rsid w:val="00DD32C2"/>
    <w:rsid w:val="00DD541F"/>
    <w:rsid w:val="00E15075"/>
    <w:rsid w:val="00E2593E"/>
    <w:rsid w:val="00E44EBA"/>
    <w:rsid w:val="00E46FF4"/>
    <w:rsid w:val="00E51184"/>
    <w:rsid w:val="00E65EBC"/>
    <w:rsid w:val="00E74FCC"/>
    <w:rsid w:val="00E80CE8"/>
    <w:rsid w:val="00EB3E4C"/>
    <w:rsid w:val="00EB6D91"/>
    <w:rsid w:val="00EC65BA"/>
    <w:rsid w:val="00EE635D"/>
    <w:rsid w:val="00F04C83"/>
    <w:rsid w:val="00F43DCB"/>
    <w:rsid w:val="00F4796F"/>
    <w:rsid w:val="00F66123"/>
    <w:rsid w:val="00F747E4"/>
    <w:rsid w:val="00FA7F3C"/>
    <w:rsid w:val="00FB02A0"/>
    <w:rsid w:val="00FB1E4F"/>
    <w:rsid w:val="00FC59B7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2015-10-06T12:38:00Z</cp:lastPrinted>
  <dcterms:created xsi:type="dcterms:W3CDTF">2015-10-06T08:31:00Z</dcterms:created>
  <dcterms:modified xsi:type="dcterms:W3CDTF">2015-10-06T12:39:00Z</dcterms:modified>
</cp:coreProperties>
</file>