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03CF2" w14:textId="77777777" w:rsidR="00B44E8F" w:rsidRPr="00A95210" w:rsidRDefault="000830F1" w:rsidP="0011026E">
      <w:pPr>
        <w:keepNext/>
        <w:keepLines/>
        <w:spacing w:before="480" w:after="0"/>
        <w:jc w:val="both"/>
        <w:outlineLvl w:val="0"/>
        <w:rPr>
          <w:rFonts w:asciiTheme="majorHAnsi" w:eastAsia="Times New Roman" w:hAnsiTheme="majorHAnsi" w:cs="Times New Roman"/>
          <w:b/>
          <w:bCs/>
          <w:noProof/>
          <w:sz w:val="24"/>
          <w:szCs w:val="24"/>
          <w:lang w:val="sr-Latn-ME"/>
        </w:rPr>
      </w:pPr>
      <w:r w:rsidRPr="00A95210">
        <w:rPr>
          <w:rFonts w:asciiTheme="majorHAnsi" w:eastAsia="Times New Roman" w:hAnsiTheme="majorHAnsi" w:cs="Times New Roman"/>
          <w:b/>
          <w:bCs/>
          <w:noProof/>
          <w:color w:val="365F91"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6BFD0BF7" wp14:editId="65C0F080">
            <wp:simplePos x="0" y="0"/>
            <wp:positionH relativeFrom="column">
              <wp:posOffset>-146685</wp:posOffset>
            </wp:positionH>
            <wp:positionV relativeFrom="paragraph">
              <wp:posOffset>-526415</wp:posOffset>
            </wp:positionV>
            <wp:extent cx="3081655" cy="1217930"/>
            <wp:effectExtent l="0" t="0" r="4445" b="1270"/>
            <wp:wrapNone/>
            <wp:docPr id="5" name="Picture 5" descr="NO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AED514" w14:textId="77777777" w:rsidR="000830F1" w:rsidRPr="00A95210" w:rsidRDefault="000830F1" w:rsidP="0011026E">
      <w:pPr>
        <w:keepNext/>
        <w:keepLines/>
        <w:spacing w:before="480" w:after="240"/>
        <w:jc w:val="both"/>
        <w:outlineLvl w:val="0"/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sr-Latn-ME"/>
        </w:rPr>
      </w:pPr>
      <w:r w:rsidRPr="00A95210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sr-Latn-ME"/>
        </w:rPr>
        <w:t xml:space="preserve">Sloboda izražavanja – presude Evropskog suda za ljudska prava </w:t>
      </w:r>
    </w:p>
    <w:p w14:paraId="5931067A" w14:textId="77777777" w:rsidR="00D73EC2" w:rsidRPr="00A95210" w:rsidRDefault="003757FE" w:rsidP="00D73EC2">
      <w:pPr>
        <w:keepNext/>
        <w:keepLines/>
        <w:spacing w:before="480" w:after="0"/>
        <w:jc w:val="both"/>
        <w:outlineLvl w:val="0"/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sr-Latn-ME"/>
        </w:rPr>
      </w:pPr>
      <w:r w:rsidRPr="00A95210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sr-Latn-ME"/>
        </w:rPr>
        <w:t>Bilten L</w:t>
      </w:r>
      <w:r w:rsidR="005C0A69" w:rsidRPr="00A95210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sr-Latn-ME"/>
        </w:rPr>
        <w:t>V</w:t>
      </w:r>
      <w:r w:rsidRPr="00A95210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sr-Latn-ME"/>
        </w:rPr>
        <w:t>I</w:t>
      </w:r>
      <w:r w:rsidR="00790787" w:rsidRPr="00A95210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sr-Latn-ME"/>
        </w:rPr>
        <w:t>: PREGLED PRESUDA IZ JUNA</w:t>
      </w:r>
      <w:r w:rsidR="00D73EC2" w:rsidRPr="00A95210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sr-Latn-ME"/>
        </w:rPr>
        <w:t xml:space="preserve"> 2015.</w:t>
      </w:r>
    </w:p>
    <w:p w14:paraId="48D26896" w14:textId="77777777" w:rsidR="00D73EC2" w:rsidRPr="00A95210" w:rsidRDefault="00C851AB" w:rsidP="00D73EC2">
      <w:pPr>
        <w:spacing w:line="480" w:lineRule="auto"/>
        <w:jc w:val="both"/>
        <w:rPr>
          <w:rFonts w:asciiTheme="majorHAnsi" w:eastAsia="Calibri" w:hAnsiTheme="majorHAnsi" w:cs="Times New Roman"/>
          <w:i/>
          <w:noProof/>
          <w:sz w:val="24"/>
          <w:szCs w:val="24"/>
          <w:lang w:val="sr-Latn-ME"/>
        </w:rPr>
      </w:pPr>
      <w:r w:rsidRPr="00A95210">
        <w:rPr>
          <w:rFonts w:asciiTheme="majorHAnsi" w:eastAsia="Calibri" w:hAnsiTheme="majorHAnsi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73C63" wp14:editId="1D346C4C">
                <wp:simplePos x="0" y="0"/>
                <wp:positionH relativeFrom="column">
                  <wp:posOffset>-25400</wp:posOffset>
                </wp:positionH>
                <wp:positionV relativeFrom="paragraph">
                  <wp:posOffset>337280</wp:posOffset>
                </wp:positionV>
                <wp:extent cx="5839460" cy="635"/>
                <wp:effectExtent l="0" t="0" r="27940" b="37465"/>
                <wp:wrapNone/>
                <wp:docPr id="6" name="Curved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6C0A0C2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" o:spid="_x0000_s1026" type="#_x0000_t38" style="position:absolute;margin-left:-2pt;margin-top:26.55pt;width:459.8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" adj="10800" strokecolor="#903" strokeweight="1.5pt"/>
            </w:pict>
          </mc:Fallback>
        </mc:AlternateContent>
      </w:r>
      <w:r w:rsidR="00790787" w:rsidRPr="00A95210">
        <w:rPr>
          <w:rFonts w:asciiTheme="majorHAnsi" w:eastAsia="Calibri" w:hAnsiTheme="majorHAnsi" w:cs="Times New Roman"/>
          <w:i/>
          <w:noProof/>
          <w:sz w:val="24"/>
          <w:szCs w:val="24"/>
          <w:lang w:val="sr-Latn-ME"/>
        </w:rPr>
        <w:t>15. jul</w:t>
      </w:r>
      <w:r w:rsidR="00D73EC2" w:rsidRPr="00A95210">
        <w:rPr>
          <w:rFonts w:asciiTheme="majorHAnsi" w:eastAsia="Calibri" w:hAnsiTheme="majorHAnsi" w:cs="Times New Roman"/>
          <w:i/>
          <w:noProof/>
          <w:sz w:val="24"/>
          <w:szCs w:val="24"/>
          <w:lang w:val="sr-Latn-ME"/>
        </w:rPr>
        <w:t xml:space="preserve"> 2015.</w:t>
      </w:r>
    </w:p>
    <w:p w14:paraId="4B031C68" w14:textId="77777777" w:rsidR="002A760B" w:rsidRPr="00A95210" w:rsidRDefault="00790787" w:rsidP="00790787">
      <w:pPr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A95210">
        <w:rPr>
          <w:rFonts w:asciiTheme="majorHAnsi" w:eastAsia="Calibri" w:hAnsiTheme="majorHAnsi" w:cs="Times New Roman"/>
          <w:sz w:val="23"/>
          <w:szCs w:val="23"/>
          <w:lang w:val="sr-Latn-ME"/>
        </w:rPr>
        <w:t>U</w:t>
      </w:r>
      <w:r w:rsidR="002A760B" w:rsidRPr="00A9521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Pr="00A95210">
        <w:rPr>
          <w:rFonts w:asciiTheme="majorHAnsi" w:eastAsia="Calibri" w:hAnsiTheme="majorHAnsi" w:cs="Times New Roman"/>
          <w:sz w:val="23"/>
          <w:szCs w:val="23"/>
          <w:lang w:val="sr-Latn-ME"/>
        </w:rPr>
        <w:t>junu</w:t>
      </w:r>
      <w:r w:rsidR="002A760B" w:rsidRPr="00A9521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2015, Evropski sud za ljudska prava je </w:t>
      </w:r>
      <w:r w:rsidRPr="00A9521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odlučivao u sljedećim slučajevima koji su se odnosili na slobodu izražavanja:  </w:t>
      </w:r>
    </w:p>
    <w:p w14:paraId="51659A6C" w14:textId="77777777" w:rsidR="00790787" w:rsidRPr="00A95210" w:rsidRDefault="00790787" w:rsidP="00790787">
      <w:pPr>
        <w:numPr>
          <w:ilvl w:val="0"/>
          <w:numId w:val="21"/>
        </w:numPr>
        <w:suppressAutoHyphens/>
        <w:contextualSpacing/>
        <w:jc w:val="both"/>
        <w:rPr>
          <w:rFonts w:asciiTheme="majorHAnsi" w:eastAsia="Droid Sans Fallback" w:hAnsiTheme="majorHAnsi" w:cs="Calibri"/>
          <w:color w:val="00000A"/>
          <w:sz w:val="23"/>
          <w:szCs w:val="23"/>
          <w:lang w:val="sr-Latn-ME"/>
        </w:rPr>
      </w:pPr>
      <w:r w:rsidRPr="00A95210">
        <w:rPr>
          <w:rFonts w:asciiTheme="majorHAnsi" w:eastAsia="Droid Sans Fallback" w:hAnsiTheme="majorHAnsi" w:cs="Calibri"/>
          <w:b/>
          <w:i/>
          <w:iCs/>
          <w:color w:val="00000A"/>
          <w:sz w:val="23"/>
          <w:szCs w:val="23"/>
          <w:lang w:val="sr-Latn-ME"/>
        </w:rPr>
        <w:t>Erla Hlynsdottir (br. 3) protiv Islanda</w:t>
      </w:r>
      <w:r w:rsidRPr="00A95210">
        <w:rPr>
          <w:rFonts w:asciiTheme="majorHAnsi" w:eastAsia="Droid Sans Fallback" w:hAnsiTheme="majorHAnsi" w:cs="Calibri"/>
          <w:color w:val="00000A"/>
          <w:sz w:val="23"/>
          <w:szCs w:val="23"/>
          <w:lang w:val="sr-Latn-ME"/>
        </w:rPr>
        <w:t xml:space="preserve"> (predstavka b</w:t>
      </w:r>
      <w:r w:rsidR="00C6470C" w:rsidRPr="00A95210">
        <w:rPr>
          <w:rFonts w:asciiTheme="majorHAnsi" w:eastAsia="Droid Sans Fallback" w:hAnsiTheme="majorHAnsi" w:cs="Calibri"/>
          <w:color w:val="00000A"/>
          <w:sz w:val="23"/>
          <w:szCs w:val="23"/>
          <w:lang w:val="sr-Latn-ME"/>
        </w:rPr>
        <w:t>r. 54145/10), 2. jun 2015: osuda</w:t>
      </w:r>
      <w:r w:rsidRPr="00A95210">
        <w:rPr>
          <w:rFonts w:asciiTheme="majorHAnsi" w:eastAsia="Droid Sans Fallback" w:hAnsiTheme="majorHAnsi" w:cs="Calibri"/>
          <w:color w:val="00000A"/>
          <w:sz w:val="23"/>
          <w:szCs w:val="23"/>
          <w:lang w:val="sr-Latn-ME"/>
        </w:rPr>
        <w:t xml:space="preserve"> za klevetu zbog izvje</w:t>
      </w:r>
      <w:r w:rsidR="00C6470C" w:rsidRPr="00A95210">
        <w:rPr>
          <w:rFonts w:asciiTheme="majorHAnsi" w:eastAsia="Droid Sans Fallback" w:hAnsiTheme="majorHAnsi" w:cs="Calibri"/>
          <w:color w:val="00000A"/>
          <w:sz w:val="23"/>
          <w:szCs w:val="23"/>
          <w:lang w:val="sr-Latn-ME"/>
        </w:rPr>
        <w:t>štavanja o krivičnom postupku prekršila je</w:t>
      </w:r>
      <w:r w:rsidRPr="00A95210">
        <w:rPr>
          <w:rFonts w:asciiTheme="majorHAnsi" w:eastAsia="Droid Sans Fallback" w:hAnsiTheme="majorHAnsi" w:cs="Calibri"/>
          <w:color w:val="00000A"/>
          <w:sz w:val="23"/>
          <w:szCs w:val="23"/>
          <w:lang w:val="sr-Latn-ME"/>
        </w:rPr>
        <w:t xml:space="preserve"> pravo na slobodu izražavanja; </w:t>
      </w:r>
    </w:p>
    <w:p w14:paraId="41E1F681" w14:textId="77777777" w:rsidR="00406579" w:rsidRPr="00A95210" w:rsidRDefault="00790787" w:rsidP="00C6470C">
      <w:pPr>
        <w:numPr>
          <w:ilvl w:val="0"/>
          <w:numId w:val="21"/>
        </w:numPr>
        <w:suppressAutoHyphens/>
        <w:contextualSpacing/>
        <w:jc w:val="both"/>
        <w:rPr>
          <w:rFonts w:asciiTheme="majorHAnsi" w:eastAsia="Droid Sans Fallback" w:hAnsiTheme="majorHAnsi" w:cs="Calibri"/>
          <w:color w:val="00000A"/>
          <w:sz w:val="23"/>
          <w:szCs w:val="23"/>
          <w:lang w:val="sr-Latn-ME"/>
        </w:rPr>
      </w:pPr>
      <w:r w:rsidRPr="00A95210">
        <w:rPr>
          <w:rFonts w:asciiTheme="majorHAnsi" w:eastAsia="Droid Sans Fallback" w:hAnsiTheme="majorHAnsi" w:cs="Calibri"/>
          <w:b/>
          <w:i/>
          <w:iCs/>
          <w:color w:val="00000A"/>
          <w:sz w:val="23"/>
          <w:szCs w:val="23"/>
          <w:lang w:val="sr-Latn-ME"/>
        </w:rPr>
        <w:t>Delfi protiv Estonije</w:t>
      </w:r>
      <w:r w:rsidRPr="00A95210">
        <w:rPr>
          <w:rFonts w:asciiTheme="majorHAnsi" w:eastAsia="Droid Sans Fallback" w:hAnsiTheme="majorHAnsi" w:cs="Calibri"/>
          <w:color w:val="00000A"/>
          <w:sz w:val="23"/>
          <w:szCs w:val="23"/>
          <w:lang w:val="sr-Latn-ME"/>
        </w:rPr>
        <w:t xml:space="preserve"> (predstavka br. 64569/09), 16. jun 2015: komercijalni informativni portal je odgovoran za komentare koje ostavljaju korisnici;</w:t>
      </w:r>
    </w:p>
    <w:p w14:paraId="14BA8177" w14:textId="77777777" w:rsidR="00406579" w:rsidRPr="00A95210" w:rsidRDefault="00406579" w:rsidP="00C6470C">
      <w:pPr>
        <w:numPr>
          <w:ilvl w:val="0"/>
          <w:numId w:val="22"/>
        </w:numPr>
        <w:suppressAutoHyphens/>
        <w:contextualSpacing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 xml:space="preserve">Mehdiyev </w:t>
      </w:r>
      <w:r w:rsidR="00C6470C"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 xml:space="preserve">protiv Azerbejdžana </w:t>
      </w:r>
      <w:r w:rsidR="00C6470C" w:rsidRPr="00A95210">
        <w:rPr>
          <w:rFonts w:ascii="Cambria" w:eastAsia="Droid Sans Fallback" w:hAnsi="Cambria" w:cs="Calibri"/>
          <w:iCs/>
          <w:color w:val="00000A"/>
          <w:sz w:val="23"/>
          <w:szCs w:val="23"/>
          <w:lang w:val="sr-Latn-ME"/>
        </w:rPr>
        <w:t>(predstavka br</w:t>
      </w:r>
      <w:r w:rsidR="00C6470C"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>.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59075/09</w:t>
      </w:r>
      <w:r w:rsidR="00C6470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)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18</w:t>
      </w:r>
      <w:r w:rsidR="00C6470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 jun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2015</w:t>
      </w:r>
      <w:r w:rsidR="00C6470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: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C6470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propust vlasti da istraži nasilje protiv novinara doveo je do kršenja prava na slobodu od nehumanog i ponižavajućeg postupanja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; </w:t>
      </w:r>
    </w:p>
    <w:p w14:paraId="52057A76" w14:textId="77777777" w:rsidR="00406579" w:rsidRPr="00A95210" w:rsidRDefault="00406579" w:rsidP="00C6470C">
      <w:pPr>
        <w:numPr>
          <w:ilvl w:val="0"/>
          <w:numId w:val="22"/>
        </w:numPr>
        <w:suppressAutoHyphens/>
        <w:contextualSpacing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 xml:space="preserve">Niskasaari </w:t>
      </w:r>
      <w:r w:rsidR="00C6470C"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>i</w:t>
      </w:r>
      <w:r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 xml:space="preserve"> Otavamedia Oy </w:t>
      </w:r>
      <w:r w:rsidR="00C6470C"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 xml:space="preserve">protiv Finske </w:t>
      </w:r>
      <w:r w:rsidR="00C6470C" w:rsidRPr="00A95210">
        <w:rPr>
          <w:rFonts w:ascii="Cambria" w:eastAsia="Droid Sans Fallback" w:hAnsi="Cambria" w:cs="Calibri"/>
          <w:iCs/>
          <w:color w:val="00000A"/>
          <w:sz w:val="23"/>
          <w:szCs w:val="23"/>
          <w:lang w:val="sr-Latn-ME"/>
        </w:rPr>
        <w:t>(predstavka br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 32297/10</w:t>
      </w:r>
      <w:r w:rsidR="00C6470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)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23</w:t>
      </w:r>
      <w:r w:rsidR="00C6470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C6470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un 2015</w:t>
      </w:r>
      <w:r w:rsidR="00C6470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: </w:t>
      </w:r>
      <w:r w:rsidR="004D7FE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osuda za </w:t>
      </w:r>
      <w:r w:rsidR="00C6470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klevet</w:t>
      </w:r>
      <w:r w:rsidR="004D7FE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="00C6470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 sporu između dva novinara prekršila</w:t>
      </w:r>
      <w:r w:rsidR="004D7FE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 pravo na slobodu izražavanja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; </w:t>
      </w:r>
    </w:p>
    <w:p w14:paraId="3737DE9A" w14:textId="77777777" w:rsidR="00406579" w:rsidRPr="00A95210" w:rsidRDefault="00406579" w:rsidP="00114F7E">
      <w:pPr>
        <w:numPr>
          <w:ilvl w:val="0"/>
          <w:numId w:val="22"/>
        </w:numPr>
        <w:suppressAutoHyphens/>
        <w:contextualSpacing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 xml:space="preserve">Özçelebi </w:t>
      </w:r>
      <w:r w:rsidR="00C6470C"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 xml:space="preserve">protiv Turske </w:t>
      </w:r>
      <w:r w:rsidR="00114F7E" w:rsidRPr="00A95210">
        <w:rPr>
          <w:rFonts w:ascii="Cambria" w:eastAsia="Droid Sans Fallback" w:hAnsi="Cambria" w:cs="Calibri"/>
          <w:iCs/>
          <w:color w:val="00000A"/>
          <w:sz w:val="23"/>
          <w:szCs w:val="23"/>
          <w:lang w:val="sr-Latn-ME"/>
        </w:rPr>
        <w:t>(</w:t>
      </w:r>
      <w:r w:rsidR="00C6470C" w:rsidRPr="00A95210">
        <w:rPr>
          <w:rFonts w:ascii="Cambria" w:eastAsia="Droid Sans Fallback" w:hAnsi="Cambria" w:cs="Calibri"/>
          <w:iCs/>
          <w:color w:val="00000A"/>
          <w:sz w:val="23"/>
          <w:szCs w:val="23"/>
          <w:lang w:val="sr-Latn-ME"/>
        </w:rPr>
        <w:t>predstavka br.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34823/05</w:t>
      </w:r>
      <w:r w:rsidR="00114F7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)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23</w:t>
      </w:r>
      <w:r w:rsidR="00114F7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114F7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un 2015</w:t>
      </w:r>
      <w:r w:rsidR="00114F7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: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114F7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osudom zbog uvrede osnivača turske nacije prekršeno je pravo na slobodu izražavanja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; </w:t>
      </w:r>
      <w:r w:rsidR="00114F7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</w:p>
    <w:p w14:paraId="75639CB3" w14:textId="77777777" w:rsidR="00406579" w:rsidRPr="00A95210" w:rsidRDefault="00406579" w:rsidP="00114F7E">
      <w:pPr>
        <w:numPr>
          <w:ilvl w:val="0"/>
          <w:numId w:val="22"/>
        </w:numPr>
        <w:suppressAutoHyphens/>
        <w:contextualSpacing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 xml:space="preserve">Peruzzi </w:t>
      </w:r>
      <w:r w:rsidR="00114F7E"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 xml:space="preserve">protiv Italije </w:t>
      </w:r>
      <w:r w:rsidR="00114F7E" w:rsidRPr="00A95210">
        <w:rPr>
          <w:rFonts w:ascii="Cambria" w:eastAsia="Droid Sans Fallback" w:hAnsi="Cambria" w:cs="Calibri"/>
          <w:iCs/>
          <w:color w:val="00000A"/>
          <w:sz w:val="23"/>
          <w:szCs w:val="23"/>
          <w:lang w:val="sr-Latn-ME"/>
        </w:rPr>
        <w:t>(p</w:t>
      </w:r>
      <w:r w:rsidR="00C6470C" w:rsidRPr="00A95210">
        <w:rPr>
          <w:rFonts w:ascii="Cambria" w:eastAsia="Droid Sans Fallback" w:hAnsi="Cambria" w:cs="Calibri"/>
          <w:iCs/>
          <w:color w:val="00000A"/>
          <w:sz w:val="23"/>
          <w:szCs w:val="23"/>
          <w:lang w:val="sr-Latn-ME"/>
        </w:rPr>
        <w:t>redstavka br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 39294/09</w:t>
      </w:r>
      <w:r w:rsidR="00114F7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)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30</w:t>
      </w:r>
      <w:r w:rsidR="00114F7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114F7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jun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2015</w:t>
      </w:r>
      <w:r w:rsidR="00114F7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: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114F7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osuda za klevetu zbog neosnovanih navoda o sud</w:t>
      </w:r>
      <w:r w:rsidR="00AB39E8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ijskoj</w:t>
      </w:r>
      <w:r w:rsidR="00114F7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pristra</w:t>
      </w:r>
      <w:r w:rsidR="00152BE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</w:t>
      </w:r>
      <w:r w:rsidR="00114F7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nosti nije prekršila pravo na slobodu izražavanja.</w:t>
      </w:r>
    </w:p>
    <w:p w14:paraId="097F684E" w14:textId="77777777" w:rsidR="00AB39E8" w:rsidRPr="00A95210" w:rsidRDefault="00AB39E8" w:rsidP="00AB39E8">
      <w:pPr>
        <w:suppressAutoHyphens/>
        <w:ind w:left="720"/>
        <w:contextualSpacing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</w:p>
    <w:p w14:paraId="77D133C0" w14:textId="77777777" w:rsidR="00406579" w:rsidRPr="00A95210" w:rsidRDefault="00AB39E8" w:rsidP="00406579">
      <w:pPr>
        <w:suppressAutoHyphens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Navedene presude ticale su se sljedećeg</w:t>
      </w:r>
      <w:r w:rsidR="0040657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: </w:t>
      </w:r>
    </w:p>
    <w:p w14:paraId="2FBB4E87" w14:textId="77777777" w:rsidR="00406579" w:rsidRPr="00A95210" w:rsidRDefault="00C6470C" w:rsidP="00AB39E8">
      <w:pPr>
        <w:pStyle w:val="ListParagraph"/>
        <w:numPr>
          <w:ilvl w:val="0"/>
          <w:numId w:val="23"/>
        </w:numPr>
        <w:rPr>
          <w:rFonts w:ascii="Cambria" w:eastAsia="Droid Sans Fallback" w:hAnsi="Cambria" w:cs="Calibri"/>
          <w:iCs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b/>
          <w:i/>
          <w:color w:val="00000A"/>
          <w:sz w:val="23"/>
          <w:szCs w:val="23"/>
          <w:lang w:val="sr-Latn-ME"/>
        </w:rPr>
        <w:t>E</w:t>
      </w:r>
      <w:r w:rsidR="00406579"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 xml:space="preserve">rla </w:t>
      </w:r>
      <w:r w:rsidR="00AB39E8"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>Hlynsdottir (br. 3) protiv Islanda</w:t>
      </w:r>
      <w:r w:rsidR="00AB39E8" w:rsidRPr="00A95210">
        <w:rPr>
          <w:rFonts w:ascii="Cambria" w:eastAsia="Droid Sans Fallback" w:hAnsi="Cambria" w:cs="Calibri"/>
          <w:i/>
          <w:iCs/>
          <w:color w:val="00000A"/>
          <w:sz w:val="23"/>
          <w:szCs w:val="23"/>
          <w:lang w:val="sr-Latn-ME"/>
        </w:rPr>
        <w:t xml:space="preserve"> </w:t>
      </w:r>
      <w:r w:rsidR="00AB39E8" w:rsidRPr="00A95210">
        <w:rPr>
          <w:rFonts w:ascii="Cambria" w:eastAsia="Droid Sans Fallback" w:hAnsi="Cambria" w:cs="Calibri"/>
          <w:iCs/>
          <w:color w:val="00000A"/>
          <w:sz w:val="23"/>
          <w:szCs w:val="23"/>
          <w:lang w:val="sr-Latn-ME"/>
        </w:rPr>
        <w:t xml:space="preserve">(predstavka br. 54145/10), 2. jun 2015: </w:t>
      </w:r>
      <w:r w:rsidR="00AB39E8" w:rsidRPr="00A95210">
        <w:rPr>
          <w:rFonts w:ascii="Cambria" w:eastAsia="Droid Sans Fallback" w:hAnsi="Cambria" w:cs="Calibri"/>
          <w:iCs/>
          <w:color w:val="00000A"/>
          <w:sz w:val="23"/>
          <w:szCs w:val="23"/>
          <w:highlight w:val="yellow"/>
          <w:lang w:val="sr-Latn-ME"/>
        </w:rPr>
        <w:t>osuda za klevetu zbog izvještavanja o krivičnom postupku prekršila je pravo na slobodu izražavanja</w:t>
      </w:r>
    </w:p>
    <w:p w14:paraId="3FC05B99" w14:textId="77777777" w:rsidR="005B20CF" w:rsidRPr="00A95210" w:rsidRDefault="009E5AD8" w:rsidP="00406579">
      <w:pPr>
        <w:suppressAutoHyphens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Slučaj se ticao reporterke 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štampanog medija 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koj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 izv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eštava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la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krivičnom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postupk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 koji se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vodio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protiv čov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eka osumnjičenog z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 uvoz velike količine kokaina na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Island.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Jedan o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d njenih </w:t>
      </w:r>
      <w:r w:rsidR="009C481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tekstova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</w:t>
      </w:r>
      <w:r w:rsidR="009C481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sio je naslov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"P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replašen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krijumčari kokaina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"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dok je u drugom pisalo 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 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kokain bi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 sakriven u automobilu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 Nakon oslobađajuć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presud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optuženi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podnio tužbu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za klevetu protiv novinar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ke i nov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na za koje je pisala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 Iako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prvostepeni sud 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presudio u njenu korist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, Vrhovni sud je ukinuo ovu presudu i naložio 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novina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rki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da 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optuženom plati odštetu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</w:t>
      </w:r>
    </w:p>
    <w:p w14:paraId="5186CC28" w14:textId="77777777" w:rsidR="00406579" w:rsidRPr="00A95210" w:rsidRDefault="005B20CF" w:rsidP="00406579">
      <w:pPr>
        <w:suppressAutoHyphens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Evropski sud za ljudska prava je 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našao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da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presuda 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za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klevet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povr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ijedila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pravo novinar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 slobodu izražava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nja. Iako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se složi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da su r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eči "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krijumčari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kokain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" u naslovu tog lista i 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lastRenderedPageBreak/>
        <w:t>navodi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spornom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članku insinuira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li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da je optuženi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 postupku k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riv za krivično d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elo za koje je</w:t>
      </w:r>
      <w:r w:rsidR="00F20A2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bio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optužen, Sud je 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konstatovao i sljedeće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: 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navedeni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krivičn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postupak 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bio jedan od najvećih slučajeva krijumčarenja kokaina na Islandu i izv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eštavanje o 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njemu 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 bilo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od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jasnog javnog interesa; 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reporterka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 jasno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navela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da je postupak 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bio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 toku i da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nije bila donijeta presuda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 krivici; 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reporterka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se 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u svojim pisanjima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osl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anjala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zvaničn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optužnic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, koja je 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predstavljala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zvanični izvor na koji 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mogla </w:t>
      </w:r>
      <w:r w:rsidR="009C481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pozvati;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841A6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iz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kontekst</w:t>
      </w:r>
      <w:r w:rsidR="00841A6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članka </w:t>
      </w:r>
      <w:r w:rsidR="00841A6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bilo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jasno da su optužbe </w:t>
      </w:r>
      <w:r w:rsidR="00BB264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koje je iznijela došle od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BB264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državnog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tužioca. </w:t>
      </w:r>
      <w:r w:rsidR="009C481C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Konačno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Sud je utvrdio da je novinar</w:t>
      </w:r>
      <w:r w:rsidR="00BB264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ka postupala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 dobroj v</w:t>
      </w:r>
      <w:r w:rsidR="00BB264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eri i</w:t>
      </w:r>
      <w:r w:rsidR="00BB264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u skladu sa pažnjom </w:t>
      </w:r>
      <w:r w:rsidR="00BB264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koja se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očekuje</w:t>
      </w:r>
      <w:r w:rsidR="00BB264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od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odgovornog novinara </w:t>
      </w:r>
      <w:r w:rsidR="00BB264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koji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izv</w:t>
      </w:r>
      <w:r w:rsidR="00BB264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eštava o pitanju od javnog interesa.</w:t>
      </w:r>
      <w:r w:rsidR="004340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 </w:t>
      </w:r>
    </w:p>
    <w:p w14:paraId="3B52F0A0" w14:textId="77777777" w:rsidR="00AB39E8" w:rsidRPr="00A95210" w:rsidRDefault="00406579" w:rsidP="00AB39E8">
      <w:pPr>
        <w:numPr>
          <w:ilvl w:val="0"/>
          <w:numId w:val="23"/>
        </w:numPr>
        <w:suppressAutoHyphens/>
        <w:contextualSpacing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 xml:space="preserve">Delfi </w:t>
      </w:r>
      <w:r w:rsidR="00AB39E8"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>protiv Estonije</w:t>
      </w:r>
      <w:r w:rsidR="00AB39E8" w:rsidRPr="00A95210">
        <w:rPr>
          <w:rFonts w:ascii="Cambria" w:eastAsia="Droid Sans Fallback" w:hAnsi="Cambria" w:cs="Calibri"/>
          <w:iCs/>
          <w:color w:val="00000A"/>
          <w:sz w:val="23"/>
          <w:szCs w:val="23"/>
          <w:lang w:val="sr-Latn-ME"/>
        </w:rPr>
        <w:t xml:space="preserve"> (predstavka br. 64569/09), 16. jun 2015: </w:t>
      </w:r>
      <w:r w:rsidR="00AB39E8" w:rsidRPr="00A95210">
        <w:rPr>
          <w:rFonts w:ascii="Cambria" w:eastAsia="Droid Sans Fallback" w:hAnsi="Cambria" w:cs="Calibri"/>
          <w:iCs/>
          <w:color w:val="00000A"/>
          <w:sz w:val="23"/>
          <w:szCs w:val="23"/>
          <w:highlight w:val="yellow"/>
          <w:lang w:val="sr-Latn-ME"/>
        </w:rPr>
        <w:t>komercijalni informativni portal je odgovoran za komentare koje ostavljaju korisnici</w:t>
      </w:r>
    </w:p>
    <w:p w14:paraId="77E5F8A6" w14:textId="77777777" w:rsidR="00AB39E8" w:rsidRPr="00A95210" w:rsidRDefault="00AB39E8" w:rsidP="00AB39E8">
      <w:pPr>
        <w:suppressAutoHyphens/>
        <w:ind w:left="720"/>
        <w:contextualSpacing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</w:p>
    <w:p w14:paraId="4C80DFEE" w14:textId="18661CC0" w:rsidR="009A0C7A" w:rsidRPr="00A95210" w:rsidRDefault="000E1005" w:rsidP="009A0C7A">
      <w:pPr>
        <w:suppressAutoHyphens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Riječ je o jednom 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od najvećih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informativnih 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sajtova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 Estoniji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koj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 je objavio članak o trajektnoj kompaniji koja je razbila ledene puteve, tj. zimske puteve preko zaleđenog mora, zbog čega su vozači bili primorani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da koriste trajekte, um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esto da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voze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do ostrva. </w:t>
      </w:r>
      <w:r w:rsidR="00091F8B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Mnogi čitaoci su ostavili svoj komentar na ovaj članak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, od kojih su </w:t>
      </w:r>
      <w:r w:rsidR="007D409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se pojedin</w:t>
      </w:r>
      <w:r w:rsidR="00091F8B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  <w:r w:rsidR="007D409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091F8B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ticali vlasnika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trajektne kompani</w:t>
      </w:r>
      <w:r w:rsidR="00091F8B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 i bili antisemitske prirode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. </w:t>
      </w:r>
      <w:r w:rsidR="0093476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Veliko vijeće je zaključilo da je 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portal 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bio odgovoran za </w:t>
      </w:r>
      <w:r w:rsidR="0093476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sporne </w:t>
      </w:r>
      <w:r w:rsidR="005B20C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komentare. 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Detaljniji prikaz ove presude objavljen je u prethodnom biltenu br. 55, dostupnom na: </w:t>
      </w:r>
      <w:hyperlink r:id="rId10" w:history="1">
        <w:r w:rsidR="00A95210" w:rsidRPr="00A95210">
          <w:rPr>
            <w:rStyle w:val="Hyperlink"/>
            <w:rFonts w:ascii="Cambria" w:eastAsia="Droid Sans Fallback" w:hAnsi="Cambria" w:cs="Calibri"/>
            <w:sz w:val="23"/>
            <w:szCs w:val="23"/>
            <w:lang w:val="sr-Latn-ME"/>
          </w:rPr>
          <w:t>http://www.hraction.org/wp-content/uploads/Bilten-55.pdf</w:t>
        </w:r>
      </w:hyperlink>
      <w:r w:rsidR="00A9521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. </w:t>
      </w:r>
    </w:p>
    <w:p w14:paraId="071B8F65" w14:textId="77777777" w:rsidR="00406579" w:rsidRPr="00A95210" w:rsidRDefault="00AB39E8" w:rsidP="009A0C7A">
      <w:pPr>
        <w:pStyle w:val="ListParagraph"/>
        <w:numPr>
          <w:ilvl w:val="0"/>
          <w:numId w:val="24"/>
        </w:numPr>
        <w:suppressAutoHyphens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>Mehdiyev protiv Azerbejdžana</w:t>
      </w:r>
      <w:r w:rsidRPr="00A95210">
        <w:rPr>
          <w:rFonts w:ascii="Cambria" w:eastAsia="Droid Sans Fallback" w:hAnsi="Cambria" w:cs="Calibri"/>
          <w:iCs/>
          <w:color w:val="00000A"/>
          <w:sz w:val="23"/>
          <w:szCs w:val="23"/>
          <w:lang w:val="sr-Latn-ME"/>
        </w:rPr>
        <w:t xml:space="preserve"> (predstavka br. 59075/09), 18. jun 2015: </w:t>
      </w:r>
      <w:r w:rsidRPr="00A95210">
        <w:rPr>
          <w:rFonts w:ascii="Cambria" w:eastAsia="Droid Sans Fallback" w:hAnsi="Cambria" w:cs="Calibri"/>
          <w:iCs/>
          <w:color w:val="00000A"/>
          <w:sz w:val="23"/>
          <w:szCs w:val="23"/>
          <w:highlight w:val="yellow"/>
          <w:lang w:val="sr-Latn-ME"/>
        </w:rPr>
        <w:t>propust vlasti da istraži nasilje protiv novinara doveo je do kršenja prava na slobodu od nehumanog i ponižavajućeg postupanja</w:t>
      </w:r>
    </w:p>
    <w:p w14:paraId="4758D8AD" w14:textId="77777777" w:rsidR="00CD4AA3" w:rsidRPr="00A95210" w:rsidRDefault="00CD4AA3" w:rsidP="00406579">
      <w:pPr>
        <w:suppressAutoHyphens/>
        <w:spacing w:after="140" w:line="288" w:lineRule="auto"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Riječ je o novinar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 koga je policija uhapsila i pretukla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nakon što je objavio članak u kojem 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kritik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ovao lokalne vlasti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. Kada se </w:t>
      </w:r>
      <w:r w:rsidR="00DF6E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žalio policiji 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zbog</w:t>
      </w:r>
      <w:r w:rsidR="00DF6E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način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</w:t>
      </w:r>
      <w:r w:rsidR="00DF6EF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 koji je bio tretiran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, 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bio 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 uhapšen z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bog korišćenja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glasno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g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 uvredljiv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og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jezik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 javnosti i osuđen na administrativn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pritvor zbog ometanja policije. 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regledao 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ga je lj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ekar, ali nije 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dobio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medicinski izv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ještaj. Prema 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njegovim 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riječima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, 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bio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 lišen hrane i vode i nije dobio posteljin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tokom pritvora. Ni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kakve radnje nijesu bile preduzete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protiv onih koji su 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ga tukli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</w:t>
      </w:r>
    </w:p>
    <w:p w14:paraId="367D4D86" w14:textId="77777777" w:rsidR="00406579" w:rsidRPr="00A95210" w:rsidRDefault="000D2425" w:rsidP="00AB39E8">
      <w:pPr>
        <w:suppressAutoHyphens/>
        <w:spacing w:after="140" w:line="288" w:lineRule="auto"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Evropski sud za ljudska prava je zaključio da 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prekršen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član 3 Evropske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konvencije o ljudskim pravima</w:t>
      </w:r>
      <w:r w:rsidR="0037016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jer domaće vlasti ni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su sprove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le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elotvornu zvaničnu istragu 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 prijavi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novinara 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 zlostavljanju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 Sud je konstatovao da pritužbe koje je podnosilac predstavke podn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domaćim organima nije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su dovele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do bilo kakvih krivičnih istraga 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te da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nikakve m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ere ni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su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bile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pred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uzete od strane domaćih sudova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uprkos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dovoljn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im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informacija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ma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 identitetu navodnih počinilaca i datum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m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est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 prirod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navodnog zlostavljanja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 Međutim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, 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usljed nepreduzimanja bilo kakvih radnji od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strane domaćih vlasti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Evropski sud nije mogao da utvrdi da li 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 do zlostavljanja novinara došlo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zbog njegov</w:t>
      </w:r>
      <w:r w:rsidR="00566C2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og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profesionalno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g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37016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djelovanja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t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nije mogao da utvrdi kršenje prava na slobodu 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izražavanja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</w:t>
      </w:r>
      <w:r w:rsidR="0040657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</w:p>
    <w:p w14:paraId="0013DE02" w14:textId="77777777" w:rsidR="00406579" w:rsidRPr="00A95210" w:rsidRDefault="00AB39E8" w:rsidP="00AB39E8">
      <w:pPr>
        <w:pStyle w:val="ListParagraph"/>
        <w:numPr>
          <w:ilvl w:val="0"/>
          <w:numId w:val="23"/>
        </w:numPr>
        <w:jc w:val="both"/>
        <w:rPr>
          <w:rFonts w:ascii="Cambria" w:eastAsia="Droid Sans Fallback" w:hAnsi="Cambria" w:cs="Calibri"/>
          <w:i/>
          <w:iCs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>Niskasaari i Otavamedia Oy protiv Finske</w:t>
      </w:r>
      <w:r w:rsidRPr="00A95210">
        <w:rPr>
          <w:rFonts w:ascii="Cambria" w:eastAsia="Droid Sans Fallback" w:hAnsi="Cambria" w:cs="Calibri"/>
          <w:i/>
          <w:iCs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iCs/>
          <w:color w:val="00000A"/>
          <w:sz w:val="23"/>
          <w:szCs w:val="23"/>
          <w:lang w:val="sr-Latn-ME"/>
        </w:rPr>
        <w:t xml:space="preserve">(predstavka br. 32297/10), 23. jun 2015: </w:t>
      </w:r>
      <w:r w:rsidRPr="00A95210">
        <w:rPr>
          <w:rFonts w:ascii="Cambria" w:eastAsia="Droid Sans Fallback" w:hAnsi="Cambria" w:cs="Calibri"/>
          <w:iCs/>
          <w:color w:val="00000A"/>
          <w:sz w:val="23"/>
          <w:szCs w:val="23"/>
          <w:highlight w:val="yellow"/>
          <w:lang w:val="sr-Latn-ME"/>
        </w:rPr>
        <w:t>osuda za klevetu u sporu između dva novinara prekršila je pravo na slobodu izražavanja</w:t>
      </w:r>
    </w:p>
    <w:p w14:paraId="15389B6A" w14:textId="77777777" w:rsidR="00406579" w:rsidRPr="00A95210" w:rsidRDefault="007260A2" w:rsidP="00406579">
      <w:pPr>
        <w:suppressAutoHyphens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lastRenderedPageBreak/>
        <w:t>N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ovinar koji 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pisao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za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poznati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ned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eljnik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kritikovao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način na koji 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su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naprav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ljena dva 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televizijska 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dokumentar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na film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 Dokumentar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ci su se bavili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pitanj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ima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plesni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 kućama i zaštite šuma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. Novinar 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nav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eo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da su 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pojedini statistički podaci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 dokumentar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cima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bili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izmišljen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te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da je iskaz istraživač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za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koj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 jedan od televizijskih 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reportera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znao da je laž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an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ipak bi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o uključen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="00B7443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jedan od dokumentarnih filmova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. TV reporter 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tužio novinara i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nedjeljnik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za naknadu štete i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na ime odštete 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dobio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6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000 e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ra. Novinar i časopis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su se žalili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Evropskom sudu za ljudska prava.</w:t>
      </w:r>
      <w:r w:rsidR="0040657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</w:p>
    <w:p w14:paraId="37AEFD30" w14:textId="77777777" w:rsidR="000D2425" w:rsidRPr="00A95210" w:rsidRDefault="000D2425" w:rsidP="00406579">
      <w:pPr>
        <w:suppressAutoHyphens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Sud je zaključio da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osuda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za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klevet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prekršila pravo na slobodu izražavanja. 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Konstatovao je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da se sporni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izv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ještaji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mog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klasifikovati kao istraživačko novinarstv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pitanj</w:t>
      </w:r>
      <w:r w:rsidR="00C7630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ima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od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legitimnog javnog interesa. Ob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e strane u sporu su profesionalni novinari koji su </w:t>
      </w:r>
      <w:r w:rsidR="001032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prilično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dobro poznati široj javnosti, a časopis je objavio </w:t>
      </w:r>
      <w:r w:rsidR="004C660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dalj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="004C660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diskusiju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, uključujući odgovor od strane TV reportera i </w:t>
      </w:r>
      <w:r w:rsidR="004C660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odgovor novinara časopisa </w:t>
      </w:r>
      <w:r w:rsidR="007260A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koj</w:t>
      </w:r>
      <w:r w:rsidR="004C660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  <w:r w:rsidR="007260A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4C660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 zauzeo cijelu stranu.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Sud je konstatovao da 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su se</w:t>
      </w:r>
      <w:r w:rsidR="004C660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statistički podaci 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razlikovali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4C660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 pogledu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očuvan</w:t>
      </w:r>
      <w:r w:rsidR="004C660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šum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</w:t>
      </w:r>
      <w:r w:rsidR="004C660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ke oblasti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 Finskoj i da se </w:t>
      </w:r>
      <w:r w:rsidR="003F0F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stoga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ne može se reći da su brojke koje je dao </w:t>
      </w:r>
      <w:r w:rsidR="003F0F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podnosilac žalbe izmišljene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 Sud je dalje</w:t>
      </w:r>
      <w:r w:rsidR="003F0F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naveo da je</w:t>
      </w:r>
      <w:r w:rsidR="003F0F61" w:rsidRPr="00A95210">
        <w:rPr>
          <w:sz w:val="23"/>
          <w:szCs w:val="23"/>
          <w:lang w:val="sr-Latn-ME"/>
        </w:rPr>
        <w:t xml:space="preserve"> </w:t>
      </w:r>
      <w:r w:rsidR="003F0F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televizijski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reporter koji je </w:t>
      </w:r>
      <w:r w:rsidR="003F0F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podnio tužbu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za klevetu i s</w:t>
      </w:r>
      <w:r w:rsidR="003F0F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â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m bio novinar</w:t>
      </w:r>
      <w:r w:rsidR="007260A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3F0F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te</w:t>
      </w:r>
      <w:r w:rsidR="007260A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da</w:t>
      </w:r>
      <w:r w:rsidR="003F0F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 mogao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da očekuje da bude predmet</w:t>
      </w:r>
      <w:r w:rsidR="003F0F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oštrog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nadzora, komentar</w:t>
      </w:r>
      <w:r w:rsidR="003F0F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 kritik</w:t>
      </w:r>
      <w:r w:rsidR="003F0F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 vezi </w:t>
      </w:r>
      <w:r w:rsidR="007260A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sv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og profesionalnog po</w:t>
      </w:r>
      <w:r w:rsidR="007260A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stupanja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. Konačno, Sud je uzeo u obzir </w:t>
      </w:r>
      <w:r w:rsidR="0037016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  <w:r w:rsidR="003F0F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ozbiljnost </w:t>
      </w:r>
      <w:r w:rsidR="003F0F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izrečene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sankcije.</w:t>
      </w:r>
    </w:p>
    <w:p w14:paraId="4F33ED1A" w14:textId="77777777" w:rsidR="00AB39E8" w:rsidRPr="00A95210" w:rsidRDefault="00AB39E8" w:rsidP="00A95210">
      <w:pPr>
        <w:pStyle w:val="ListParagraph"/>
        <w:numPr>
          <w:ilvl w:val="0"/>
          <w:numId w:val="23"/>
        </w:numPr>
        <w:jc w:val="both"/>
        <w:rPr>
          <w:rFonts w:ascii="Cambria" w:eastAsia="Droid Sans Fallback" w:hAnsi="Cambria" w:cs="Calibri"/>
          <w:i/>
          <w:iCs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>Özçelebi protiv Turske</w:t>
      </w:r>
      <w:r w:rsidRPr="00A95210">
        <w:rPr>
          <w:rFonts w:ascii="Cambria" w:eastAsia="Droid Sans Fallback" w:hAnsi="Cambria" w:cs="Calibri"/>
          <w:i/>
          <w:iCs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iCs/>
          <w:color w:val="00000A"/>
          <w:sz w:val="23"/>
          <w:szCs w:val="23"/>
          <w:lang w:val="sr-Latn-ME"/>
        </w:rPr>
        <w:t xml:space="preserve">(predstavka br. 34823/05), 23. jun 2015: </w:t>
      </w:r>
      <w:r w:rsidRPr="00A95210">
        <w:rPr>
          <w:rFonts w:ascii="Cambria" w:eastAsia="Droid Sans Fallback" w:hAnsi="Cambria" w:cs="Calibri"/>
          <w:iCs/>
          <w:color w:val="00000A"/>
          <w:sz w:val="23"/>
          <w:szCs w:val="23"/>
          <w:highlight w:val="yellow"/>
          <w:lang w:val="sr-Latn-ME"/>
        </w:rPr>
        <w:t>osudom zbog uvrede osnivača turske nacije prekršeno je pravo na slobodu izražavanja</w:t>
      </w:r>
    </w:p>
    <w:p w14:paraId="161BDDD5" w14:textId="77777777" w:rsidR="000D2425" w:rsidRPr="00A95210" w:rsidRDefault="00EA517C" w:rsidP="00406579">
      <w:pPr>
        <w:suppressAutoHyphens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Slučaj se ticao turskog mornaričkog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komandanta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koji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upotrijebio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sleng r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ij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eč za "glavu" u ​​vezi sa fotografijama i statu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om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Ataturka,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osnivača moderne Turske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 On je optužen da je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pokazujući na sliku Ataturka na zidu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rekao podoficir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: "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Kad si već kog toga, mogao si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da odab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ereš</w:t>
      </w:r>
      <w:r w:rsidR="009A0C7A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neku bolju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sliku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ove njuške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"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Sud ga je osudio na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godinu dana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zatvora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,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rž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eć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 da je imao nam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eru da vr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ij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eđa s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ećanje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 Ataturka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. Nakon raznih žalbi i sudskih postupaka koji su trajali skoro šesnaest godina, ova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presuda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 konačno poništena i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mornarički komandant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 osuđen na uslovnu kazn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 u trajanju od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tri godine.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</w:p>
    <w:p w14:paraId="4619F09F" w14:textId="77777777" w:rsidR="00406579" w:rsidRPr="00A95210" w:rsidRDefault="000D2425" w:rsidP="00AB39E8">
      <w:pPr>
        <w:suppressAutoHyphens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Evropski sud za ljudska prava je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našao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da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 presuda prekršila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pravo ko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mandanta na slobodu izražavanja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 Turski sudovi ni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su nave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l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 koji način je upotreba sle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ng r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iječi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uvr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ijedila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jećanje na Ataturka,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 ni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jesu uzel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 u obzir da su r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eči bile izgovorene u zatvorenom prostoru i pred mal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m krug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om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ljudi. Nije bilo nikakvih indikacija da je imao nam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eru ili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pokazao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spremnost da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ih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javno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iznese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 Konačno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Sud je konstatovao da je sudski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postupak trajao skoro šesnaest godina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iako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 njegova kazna zatvora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bila preinačena u novčanu kaznu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, 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sve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ovo je</w:t>
      </w:r>
      <w:r w:rsidR="00F951F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152BE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podnosiocu predstavke </w:t>
      </w:r>
      <w:r w:rsidR="007260A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"visilo nad glavom" </w:t>
      </w:r>
      <w:r w:rsidR="006412B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i imalo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ozbilj</w:t>
      </w:r>
      <w:r w:rsidR="006412B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n negativan uticaj na njegovo pravo na slobodu izražavanja. </w:t>
      </w:r>
      <w:r w:rsidR="006412B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suda stoga nije</w:t>
      </w:r>
      <w:r w:rsidR="006412B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bila "neophodna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 demokratskom društvu".</w:t>
      </w:r>
      <w:bookmarkStart w:id="0" w:name="result_box"/>
      <w:bookmarkEnd w:id="0"/>
      <w:r w:rsidR="0040657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152BE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</w:p>
    <w:p w14:paraId="6C30DF19" w14:textId="77777777" w:rsidR="009A0C7A" w:rsidRPr="00A95210" w:rsidRDefault="00AB39E8" w:rsidP="009A0C7A">
      <w:pPr>
        <w:pStyle w:val="ListParagraph"/>
        <w:numPr>
          <w:ilvl w:val="0"/>
          <w:numId w:val="23"/>
        </w:numPr>
        <w:jc w:val="both"/>
        <w:rPr>
          <w:rFonts w:ascii="Cambria" w:eastAsia="Droid Sans Fallback" w:hAnsi="Cambria" w:cs="Calibri"/>
          <w:i/>
          <w:iCs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b/>
          <w:i/>
          <w:iCs/>
          <w:color w:val="00000A"/>
          <w:sz w:val="23"/>
          <w:szCs w:val="23"/>
          <w:lang w:val="sr-Latn-ME"/>
        </w:rPr>
        <w:t>Peruzzi protiv Italije</w:t>
      </w:r>
      <w:r w:rsidRPr="00A95210">
        <w:rPr>
          <w:rFonts w:ascii="Cambria" w:eastAsia="Droid Sans Fallback" w:hAnsi="Cambria" w:cs="Calibri"/>
          <w:i/>
          <w:iCs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iCs/>
          <w:color w:val="00000A"/>
          <w:sz w:val="23"/>
          <w:szCs w:val="23"/>
          <w:lang w:val="sr-Latn-ME"/>
        </w:rPr>
        <w:t xml:space="preserve">(predstavka br. 39294/09), 30. jun 2015: </w:t>
      </w:r>
      <w:bookmarkStart w:id="1" w:name="_GoBack"/>
      <w:bookmarkEnd w:id="1"/>
      <w:r w:rsidRPr="00A95210">
        <w:rPr>
          <w:rFonts w:ascii="Cambria" w:eastAsia="Droid Sans Fallback" w:hAnsi="Cambria" w:cs="Calibri"/>
          <w:iCs/>
          <w:color w:val="00000A"/>
          <w:sz w:val="23"/>
          <w:szCs w:val="23"/>
          <w:highlight w:val="yellow"/>
          <w:lang w:val="sr-Latn-ME"/>
        </w:rPr>
        <w:t>osuda za klevetu zbog neosnovanih navoda o sudijskoj pristra</w:t>
      </w:r>
      <w:r w:rsidR="00152BEE" w:rsidRPr="00A95210">
        <w:rPr>
          <w:rFonts w:ascii="Cambria" w:eastAsia="Droid Sans Fallback" w:hAnsi="Cambria" w:cs="Calibri"/>
          <w:iCs/>
          <w:color w:val="00000A"/>
          <w:sz w:val="23"/>
          <w:szCs w:val="23"/>
          <w:highlight w:val="yellow"/>
          <w:lang w:val="sr-Latn-ME"/>
        </w:rPr>
        <w:t>s</w:t>
      </w:r>
      <w:r w:rsidRPr="00A95210">
        <w:rPr>
          <w:rFonts w:ascii="Cambria" w:eastAsia="Droid Sans Fallback" w:hAnsi="Cambria" w:cs="Calibri"/>
          <w:iCs/>
          <w:color w:val="00000A"/>
          <w:sz w:val="23"/>
          <w:szCs w:val="23"/>
          <w:highlight w:val="yellow"/>
          <w:lang w:val="sr-Latn-ME"/>
        </w:rPr>
        <w:t>nosti nije prekršila pravo na slobodu izražavanja</w:t>
      </w:r>
    </w:p>
    <w:p w14:paraId="29EBAC08" w14:textId="77777777" w:rsidR="00406579" w:rsidRPr="00A95210" w:rsidRDefault="009A0C7A" w:rsidP="009A0C7A">
      <w:pPr>
        <w:jc w:val="both"/>
        <w:rPr>
          <w:rFonts w:ascii="Cambria" w:eastAsia="Droid Sans Fallback" w:hAnsi="Cambria" w:cs="Calibri"/>
          <w:i/>
          <w:iCs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</w:t>
      </w:r>
      <w:r w:rsidR="007459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lučaj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se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ti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cao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italijanskog advokata koji je 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uputio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dopis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Vrhovno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m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sav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et</w:t>
      </w:r>
      <w:r w:rsidR="005C2766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sudstva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Italije žal</w:t>
      </w:r>
      <w:r w:rsidR="007459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eći se na postupanje sudije okružnog suda. Advokat se zatim obratio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7459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sudijama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istog suda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lastRenderedPageBreak/>
        <w:t>u pismu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7459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uz koj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</w:t>
      </w:r>
      <w:r w:rsidR="007459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prilož</w:t>
      </w:r>
      <w:r w:rsidR="007459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io i obraćanje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Vrhovno</w:t>
      </w:r>
      <w:r w:rsidR="007459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m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sav</w:t>
      </w:r>
      <w:r w:rsidR="007459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jetu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ali bez pominjanja sudij</w:t>
      </w:r>
      <w:r w:rsidR="00745961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po imenu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 U p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ism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u su sadržane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detaljne odluke usvojene od strane 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pomenutog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sudije u kontekstu niza 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ostavinskih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postupaka, a takođe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F9623B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ukazano 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navodno neprihvatljivo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postupanje, uključujući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"nam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ern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greške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poči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njene </w:t>
      </w:r>
      <w:r w:rsidR="00C16EA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sa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loš</w:t>
      </w:r>
      <w:r w:rsidR="00C16EA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om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namjer</w:t>
      </w:r>
      <w:r w:rsidR="00C16EA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om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ili </w:t>
      </w:r>
      <w:r w:rsidR="00C16EA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uz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krajnj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u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nepažnj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ili usl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jed nedostatka posvećenosti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". Sudija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advokata tužio za klevetu i uvredu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. Advokat je osuđen na kaznu zatvora 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u trajanju od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četiri m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eseca za klevetu i uvredu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a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po žalbi 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kazna zatvora 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bila 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preinačena 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 novčanu kaznu u iznosu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od 400 e</w:t>
      </w:r>
      <w:r w:rsidR="00185507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ra. Advokat</w:t>
      </w:r>
      <w:r w:rsidR="00F9623B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 dodatno na</w:t>
      </w:r>
      <w:r w:rsidR="00F9623B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loženo 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da plati 15.000 e</w:t>
      </w:r>
      <w:r w:rsidR="00F9623B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ra na ime naknade</w:t>
      </w:r>
      <w:r w:rsidR="00D6200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štete</w:t>
      </w:r>
      <w:r w:rsidR="000D2425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.</w:t>
      </w:r>
    </w:p>
    <w:p w14:paraId="513382C0" w14:textId="77777777" w:rsidR="003D241D" w:rsidRPr="00A95210" w:rsidRDefault="000D2425" w:rsidP="00D6200E">
      <w:pPr>
        <w:suppressAutoHyphens/>
        <w:jc w:val="both"/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</w:pP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Evropski sud je 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zaključio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da to nije prekršil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pravo advokata na slobodu izražavanja. 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Sud je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prim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etio da je pismo bilo lično i </w:t>
      </w:r>
      <w:r w:rsidR="00D6200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da se ticalo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pojedinačnog sudije. Prvi di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o pisma, u kojem 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advokat nav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eo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da 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sudija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usvojio nepravedne i arbitrarne odluke, nije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dove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do prekom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erne kritik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jer su prim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edbe predstavlja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le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vrednosne sudove koji su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dijelom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imali 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činjeničnu 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snov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u,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posebno imajući u vidu da je advokat predstavlja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 jed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od stranaka u</w:t>
      </w:r>
      <w:r w:rsidR="00622F3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ostavinskom postupku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. Međutim, druga kritika, da je sudija bio "pristrasan" i </w:t>
      </w:r>
      <w:r w:rsidR="00C16EA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da je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počini</w:t>
      </w:r>
      <w:r w:rsidR="00C16EA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"</w:t>
      </w:r>
      <w:r w:rsidR="00C16EA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namjerne greške sa lošom namjerom ili uz krajnju nepažnju ili usljed nedostatka posvećenosti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", podrazum</w:t>
      </w:r>
      <w:r w:rsidR="00C16EA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eva</w:t>
      </w:r>
      <w:r w:rsidR="00D6200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la je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da</w:t>
      </w:r>
      <w:r w:rsidR="00C16EA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sudija zanemario svoje etičke obaveze, ili </w:t>
      </w:r>
      <w:r w:rsidR="00C16EA4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da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čak počinio krivično djelo (usvajanje odluke 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od strane sudije </w:t>
      </w:r>
      <w:r w:rsidR="00585B7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za koju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on ili ona zna da </w:t>
      </w:r>
      <w:r w:rsidR="00585B7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pogrešn</w:t>
      </w:r>
      <w:r w:rsidR="00585B73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a može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predstavljati zloupotrebu službenog položaja). 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Za to n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ije bilo dokaza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, 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advokat je </w:t>
      </w:r>
      <w:r w:rsidR="00055C9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dostavio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pismo ne čekajući ishod </w:t>
      </w:r>
      <w:r w:rsidR="00055C9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postupka po tužbi koju je podnio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protiv sudije Vrhovn</w:t>
      </w:r>
      <w:r w:rsidR="00055C9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om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sav</w:t>
      </w:r>
      <w:r w:rsidR="00055C9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et</w:t>
      </w:r>
      <w:r w:rsidR="00055C9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="00D6200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sudstva. Sud je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konstatovao </w:t>
      </w:r>
      <w:r w:rsidR="00D6200E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i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da</w:t>
      </w:r>
      <w:r w:rsidR="00055C9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pismo</w:t>
      </w:r>
      <w:r w:rsidR="00055C9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bilo upućeno brojnim sudijama u o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kružnom sudu, </w:t>
      </w:r>
      <w:r w:rsidR="00055C9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te da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je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to </w:t>
      </w:r>
      <w:r w:rsidR="00055C9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mora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lo negativno da utiče na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ugled sudije i</w:t>
      </w:r>
      <w:r w:rsidR="00055C9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njegov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profesionalni imidž. Sud je na kraju uzeo u obzir</w:t>
      </w:r>
      <w:r w:rsidR="00B25E4F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da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je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prvobitno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izrečena 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zatvorska kazna po žalbi 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bi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la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preinačena 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novčan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kazn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i 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od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štet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u,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koj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se ne mo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gu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smatrati pret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j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eranim. Zbog toga, a uzimajući u obzir potrebu da se održi autoritet i nepristrasnost sudstva, Evropski sud je utvr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>dio da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presuda</w:t>
      </w:r>
      <w:r w:rsidR="004F5360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za klevetu</w:t>
      </w:r>
      <w:r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nije prekršila pravo na slobodu izražavanja.</w:t>
      </w:r>
      <w:r w:rsidR="00406579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  <w:r w:rsidR="00801ED2" w:rsidRPr="00A95210">
        <w:rPr>
          <w:rFonts w:ascii="Cambria" w:eastAsia="Droid Sans Fallback" w:hAnsi="Cambria" w:cs="Calibri"/>
          <w:color w:val="00000A"/>
          <w:sz w:val="23"/>
          <w:szCs w:val="23"/>
          <w:lang w:val="sr-Latn-ME"/>
        </w:rPr>
        <w:t xml:space="preserve"> </w:t>
      </w:r>
    </w:p>
    <w:p w14:paraId="402BE368" w14:textId="77777777" w:rsidR="00406579" w:rsidRPr="00A95210" w:rsidRDefault="00406579" w:rsidP="0011026E">
      <w:pPr>
        <w:spacing w:after="0"/>
        <w:jc w:val="both"/>
        <w:rPr>
          <w:rFonts w:asciiTheme="majorHAnsi" w:eastAsia="Calibri" w:hAnsiTheme="majorHAnsi" w:cs="Times New Roman"/>
          <w:b/>
          <w:i/>
          <w:noProof/>
          <w:sz w:val="23"/>
          <w:szCs w:val="23"/>
          <w:lang w:val="sr-Latn-ME"/>
        </w:rPr>
      </w:pPr>
    </w:p>
    <w:p w14:paraId="6EBFD695" w14:textId="77777777" w:rsidR="000830F1" w:rsidRDefault="000830F1" w:rsidP="0011026E">
      <w:pPr>
        <w:spacing w:after="0"/>
        <w:jc w:val="both"/>
        <w:rPr>
          <w:rFonts w:asciiTheme="majorHAnsi" w:eastAsia="Calibri" w:hAnsiTheme="majorHAnsi" w:cs="Times New Roman"/>
          <w:b/>
          <w:i/>
          <w:noProof/>
          <w:sz w:val="23"/>
          <w:szCs w:val="23"/>
          <w:lang w:val="sr-Latn-ME"/>
        </w:rPr>
      </w:pPr>
      <w:r w:rsidRPr="00A95210">
        <w:rPr>
          <w:rFonts w:asciiTheme="majorHAnsi" w:eastAsia="Calibri" w:hAnsiTheme="majorHAnsi" w:cs="Times New Roman"/>
          <w:b/>
          <w:i/>
          <w:noProof/>
          <w:sz w:val="23"/>
          <w:szCs w:val="23"/>
          <w:lang w:val="sr-Latn-ME"/>
        </w:rPr>
        <w:t>Pripremio: Peter Noorlander, direktor Media Legal Defence Initiative, u saradnji sa HRA</w:t>
      </w:r>
    </w:p>
    <w:p w14:paraId="748C195B" w14:textId="77777777" w:rsidR="00A95210" w:rsidRPr="00A95210" w:rsidRDefault="00A95210" w:rsidP="0011026E">
      <w:pPr>
        <w:spacing w:after="0"/>
        <w:jc w:val="both"/>
        <w:rPr>
          <w:rFonts w:asciiTheme="majorHAnsi" w:eastAsia="Calibri" w:hAnsiTheme="majorHAnsi" w:cs="Times New Roman"/>
          <w:b/>
          <w:i/>
          <w:noProof/>
          <w:sz w:val="23"/>
          <w:szCs w:val="23"/>
          <w:lang w:val="sr-Latn-ME"/>
        </w:rPr>
      </w:pPr>
    </w:p>
    <w:p w14:paraId="50980F1C" w14:textId="77777777" w:rsidR="000830F1" w:rsidRPr="00A95210" w:rsidRDefault="00C851AB" w:rsidP="0011026E">
      <w:pPr>
        <w:spacing w:after="0"/>
        <w:jc w:val="both"/>
        <w:rPr>
          <w:rFonts w:asciiTheme="majorHAnsi" w:eastAsia="Calibri" w:hAnsiTheme="majorHAnsi" w:cs="Times New Roman"/>
          <w:noProof/>
          <w:sz w:val="23"/>
          <w:szCs w:val="23"/>
          <w:highlight w:val="yellow"/>
          <w:shd w:val="clear" w:color="auto" w:fill="FFFFFF"/>
          <w:lang w:val="sr-Latn-ME"/>
        </w:rPr>
      </w:pPr>
      <w:r w:rsidRPr="00A95210">
        <w:rPr>
          <w:rFonts w:asciiTheme="majorHAnsi" w:eastAsia="Calibri" w:hAnsiTheme="majorHAnsi" w:cs="Times New Roman"/>
          <w:b/>
          <w:i/>
          <w:noProof/>
          <w:sz w:val="23"/>
          <w:szCs w:val="23"/>
          <w:lang w:val="sr-Latn-ME" w:eastAsia="sr-Latn-ME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F2B5A46" wp14:editId="3D333840">
                <wp:simplePos x="0" y="0"/>
                <wp:positionH relativeFrom="column">
                  <wp:posOffset>-52705</wp:posOffset>
                </wp:positionH>
                <wp:positionV relativeFrom="paragraph">
                  <wp:posOffset>122554</wp:posOffset>
                </wp:positionV>
                <wp:extent cx="572452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BFCE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4.15pt;margin-top:9.65pt;width:450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" strokecolor="#903" strokeweight="1.5pt"/>
            </w:pict>
          </mc:Fallback>
        </mc:AlternateContent>
      </w:r>
    </w:p>
    <w:p w14:paraId="74887E1C" w14:textId="77777777" w:rsidR="000830F1" w:rsidRPr="00A95210" w:rsidRDefault="00552A1E" w:rsidP="0011026E">
      <w:pPr>
        <w:spacing w:after="0"/>
        <w:jc w:val="both"/>
        <w:rPr>
          <w:rFonts w:asciiTheme="majorHAnsi" w:eastAsia="Calibri" w:hAnsiTheme="majorHAnsi" w:cs="Times New Roman"/>
          <w:noProof/>
          <w:sz w:val="23"/>
          <w:szCs w:val="23"/>
          <w:highlight w:val="yellow"/>
          <w:shd w:val="clear" w:color="auto" w:fill="FFFFFF"/>
          <w:lang w:val="sr-Latn-ME"/>
        </w:rPr>
      </w:pPr>
      <w:r w:rsidRPr="00A95210">
        <w:rPr>
          <w:rFonts w:asciiTheme="majorHAnsi" w:hAnsiTheme="majorHAnsi"/>
          <w:noProof/>
          <w:sz w:val="23"/>
          <w:szCs w:val="23"/>
          <w:lang w:val="sr-Latn-ME" w:eastAsia="sr-Latn-ME"/>
        </w:rPr>
        <w:drawing>
          <wp:anchor distT="0" distB="0" distL="0" distR="0" simplePos="0" relativeHeight="251665408" behindDoc="0" locked="0" layoutInCell="1" allowOverlap="0" wp14:anchorId="7101BCCC" wp14:editId="6AB4DE3C">
            <wp:simplePos x="0" y="0"/>
            <wp:positionH relativeFrom="column">
              <wp:posOffset>-129540</wp:posOffset>
            </wp:positionH>
            <wp:positionV relativeFrom="line">
              <wp:posOffset>1905</wp:posOffset>
            </wp:positionV>
            <wp:extent cx="1069340" cy="775970"/>
            <wp:effectExtent l="0" t="0" r="0" b="5080"/>
            <wp:wrapSquare wrapText="bothSides"/>
            <wp:docPr id="2" name="Picture 2" descr="USA_embassy_Pod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A_embassy_Podgor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5AE951" w14:textId="77777777" w:rsidR="000830F1" w:rsidRPr="00A95210" w:rsidRDefault="000830F1" w:rsidP="0011026E">
      <w:pPr>
        <w:spacing w:after="0"/>
        <w:jc w:val="both"/>
        <w:rPr>
          <w:rFonts w:asciiTheme="majorHAnsi" w:eastAsia="Calibri" w:hAnsiTheme="majorHAnsi" w:cs="Times New Roman"/>
          <w:noProof/>
          <w:sz w:val="23"/>
          <w:szCs w:val="23"/>
          <w:lang w:val="sr-Latn-ME"/>
        </w:rPr>
      </w:pPr>
      <w:r w:rsidRPr="00A95210">
        <w:rPr>
          <w:rFonts w:asciiTheme="majorHAnsi" w:eastAsia="Calibri" w:hAnsiTheme="majorHAnsi" w:cs="Times New Roman"/>
          <w:noProof/>
          <w:sz w:val="23"/>
          <w:szCs w:val="23"/>
          <w:shd w:val="clear" w:color="auto" w:fill="FFFFFF"/>
          <w:lang w:val="sr-Latn-ME"/>
        </w:rPr>
        <w:t xml:space="preserve">Bilteni se objavljuju </w:t>
      </w:r>
      <w:r w:rsidR="005341D1" w:rsidRPr="00A95210">
        <w:rPr>
          <w:rFonts w:asciiTheme="majorHAnsi" w:eastAsia="Calibri" w:hAnsiTheme="majorHAnsi" w:cs="Times New Roman"/>
          <w:noProof/>
          <w:sz w:val="23"/>
          <w:szCs w:val="23"/>
          <w:shd w:val="clear" w:color="auto" w:fill="FFFFFF"/>
          <w:lang w:val="sr-Latn-ME"/>
        </w:rPr>
        <w:t>u okviru projekta „Podrška razumijevanju novinarske etike i slobode izražavanja“, koji finansira Ambasada Sjedinjenih Američkih Država u Podgorici</w:t>
      </w:r>
      <w:r w:rsidR="00552A1E" w:rsidRPr="00A95210">
        <w:rPr>
          <w:rFonts w:asciiTheme="majorHAnsi" w:eastAsia="Calibri" w:hAnsiTheme="majorHAnsi" w:cs="Times New Roman"/>
          <w:noProof/>
          <w:sz w:val="23"/>
          <w:szCs w:val="23"/>
          <w:shd w:val="clear" w:color="auto" w:fill="FFFFFF"/>
          <w:lang w:val="sr-Latn-ME"/>
        </w:rPr>
        <w:t>.</w:t>
      </w:r>
    </w:p>
    <w:p w14:paraId="41B586B1" w14:textId="77777777" w:rsidR="00C87344" w:rsidRPr="00A95210" w:rsidRDefault="00C851AB" w:rsidP="0011026E">
      <w:pPr>
        <w:tabs>
          <w:tab w:val="left" w:pos="2038"/>
        </w:tabs>
        <w:jc w:val="both"/>
        <w:rPr>
          <w:rFonts w:asciiTheme="majorHAnsi" w:hAnsiTheme="majorHAnsi"/>
          <w:noProof/>
          <w:sz w:val="23"/>
          <w:szCs w:val="23"/>
          <w:lang w:val="sr-Latn-ME"/>
        </w:rPr>
      </w:pPr>
      <w:r w:rsidRPr="00A95210">
        <w:rPr>
          <w:rFonts w:asciiTheme="majorHAnsi" w:eastAsia="Calibri" w:hAnsiTheme="majorHAnsi" w:cs="Times New Roman"/>
          <w:noProof/>
          <w:sz w:val="23"/>
          <w:szCs w:val="23"/>
          <w:lang w:val="sr-Latn-ME" w:eastAsia="sr-Latn-ME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37BE9504" wp14:editId="7E879E3A">
                <wp:simplePos x="0" y="0"/>
                <wp:positionH relativeFrom="column">
                  <wp:posOffset>-20320</wp:posOffset>
                </wp:positionH>
                <wp:positionV relativeFrom="paragraph">
                  <wp:posOffset>93980</wp:posOffset>
                </wp:positionV>
                <wp:extent cx="57245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.6pt;margin-top:7.4pt;width:450.7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" strokecolor="#903" strokeweight="1.5pt"/>
            </w:pict>
          </mc:Fallback>
        </mc:AlternateContent>
      </w:r>
      <w:r w:rsidR="009E513B" w:rsidRPr="00A95210">
        <w:rPr>
          <w:rFonts w:asciiTheme="majorHAnsi" w:hAnsiTheme="majorHAnsi"/>
          <w:noProof/>
          <w:sz w:val="23"/>
          <w:szCs w:val="23"/>
          <w:lang w:val="sr-Latn-ME"/>
        </w:rPr>
        <w:tab/>
      </w:r>
    </w:p>
    <w:sectPr w:rsidR="00C87344" w:rsidRPr="00A95210" w:rsidSect="00B44E8F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16C35" w14:textId="77777777" w:rsidR="00F87158" w:rsidRDefault="00F87158" w:rsidP="002C0F0D">
      <w:pPr>
        <w:spacing w:after="0" w:line="240" w:lineRule="auto"/>
      </w:pPr>
      <w:r>
        <w:separator/>
      </w:r>
    </w:p>
  </w:endnote>
  <w:endnote w:type="continuationSeparator" w:id="0">
    <w:p w14:paraId="33022F54" w14:textId="77777777" w:rsidR="00F87158" w:rsidRDefault="00F87158" w:rsidP="002C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2DF50" w14:textId="77777777" w:rsidR="00F87158" w:rsidRDefault="00F87158" w:rsidP="002C0F0D">
      <w:pPr>
        <w:spacing w:after="0" w:line="240" w:lineRule="auto"/>
      </w:pPr>
      <w:r>
        <w:separator/>
      </w:r>
    </w:p>
  </w:footnote>
  <w:footnote w:type="continuationSeparator" w:id="0">
    <w:p w14:paraId="79819385" w14:textId="77777777" w:rsidR="00F87158" w:rsidRDefault="00F87158" w:rsidP="002C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C62"/>
    <w:multiLevelType w:val="hybridMultilevel"/>
    <w:tmpl w:val="AD86A47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6788"/>
    <w:multiLevelType w:val="hybridMultilevel"/>
    <w:tmpl w:val="4A4841C6"/>
    <w:lvl w:ilvl="0" w:tplc="2C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EA328E4"/>
    <w:multiLevelType w:val="hybridMultilevel"/>
    <w:tmpl w:val="EF18324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2E02"/>
    <w:multiLevelType w:val="hybridMultilevel"/>
    <w:tmpl w:val="29A2B29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8158D"/>
    <w:multiLevelType w:val="multilevel"/>
    <w:tmpl w:val="F502D694"/>
    <w:lvl w:ilvl="0">
      <w:start w:val="2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2F0B91"/>
    <w:multiLevelType w:val="hybridMultilevel"/>
    <w:tmpl w:val="2C4EF3A0"/>
    <w:lvl w:ilvl="0" w:tplc="578048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F20BE"/>
    <w:multiLevelType w:val="hybridMultilevel"/>
    <w:tmpl w:val="8FB6BFE4"/>
    <w:lvl w:ilvl="0" w:tplc="09EAAD72">
      <w:start w:val="26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A25AD"/>
    <w:multiLevelType w:val="hybridMultilevel"/>
    <w:tmpl w:val="2752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C2853"/>
    <w:multiLevelType w:val="hybridMultilevel"/>
    <w:tmpl w:val="C3DEBA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85B78"/>
    <w:multiLevelType w:val="hybridMultilevel"/>
    <w:tmpl w:val="5D10AD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22984"/>
    <w:multiLevelType w:val="multilevel"/>
    <w:tmpl w:val="D3F621E6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35B2E23"/>
    <w:multiLevelType w:val="hybridMultilevel"/>
    <w:tmpl w:val="779AF2B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C3241"/>
    <w:multiLevelType w:val="multilevel"/>
    <w:tmpl w:val="23BC346A"/>
    <w:lvl w:ilvl="0">
      <w:start w:val="2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B7D3D7D"/>
    <w:multiLevelType w:val="hybridMultilevel"/>
    <w:tmpl w:val="3E163B5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217F1"/>
    <w:multiLevelType w:val="hybridMultilevel"/>
    <w:tmpl w:val="75B6554E"/>
    <w:lvl w:ilvl="0" w:tplc="09EAAD7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03B02"/>
    <w:multiLevelType w:val="multilevel"/>
    <w:tmpl w:val="EDB61E60"/>
    <w:lvl w:ilvl="0">
      <w:start w:val="2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5F7D04"/>
    <w:multiLevelType w:val="hybridMultilevel"/>
    <w:tmpl w:val="7BC6E54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D4DFB"/>
    <w:multiLevelType w:val="hybridMultilevel"/>
    <w:tmpl w:val="C6F4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E5BD7"/>
    <w:multiLevelType w:val="hybridMultilevel"/>
    <w:tmpl w:val="2A682D76"/>
    <w:lvl w:ilvl="0" w:tplc="09EAAD72">
      <w:start w:val="26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00932"/>
    <w:multiLevelType w:val="hybridMultilevel"/>
    <w:tmpl w:val="AB22E75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8"/>
  </w:num>
  <w:num w:numId="11">
    <w:abstractNumId w:val="16"/>
  </w:num>
  <w:num w:numId="12">
    <w:abstractNumId w:val="5"/>
  </w:num>
  <w:num w:numId="13">
    <w:abstractNumId w:val="15"/>
  </w:num>
  <w:num w:numId="14">
    <w:abstractNumId w:val="3"/>
  </w:num>
  <w:num w:numId="15">
    <w:abstractNumId w:val="12"/>
  </w:num>
  <w:num w:numId="16">
    <w:abstractNumId w:val="17"/>
  </w:num>
  <w:num w:numId="17">
    <w:abstractNumId w:val="13"/>
  </w:num>
  <w:num w:numId="18">
    <w:abstractNumId w:val="12"/>
  </w:num>
  <w:num w:numId="19">
    <w:abstractNumId w:val="17"/>
  </w:num>
  <w:num w:numId="20">
    <w:abstractNumId w:val="13"/>
  </w:num>
  <w:num w:numId="21">
    <w:abstractNumId w:val="4"/>
  </w:num>
  <w:num w:numId="22">
    <w:abstractNumId w:val="4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FA"/>
    <w:rsid w:val="00001B91"/>
    <w:rsid w:val="0000328B"/>
    <w:rsid w:val="0001230B"/>
    <w:rsid w:val="000162A3"/>
    <w:rsid w:val="00050986"/>
    <w:rsid w:val="00052A91"/>
    <w:rsid w:val="00055C99"/>
    <w:rsid w:val="00072832"/>
    <w:rsid w:val="0008200A"/>
    <w:rsid w:val="000830F1"/>
    <w:rsid w:val="00086A62"/>
    <w:rsid w:val="00091F8B"/>
    <w:rsid w:val="000934E9"/>
    <w:rsid w:val="000C448F"/>
    <w:rsid w:val="000C62FE"/>
    <w:rsid w:val="000D2425"/>
    <w:rsid w:val="000D36D4"/>
    <w:rsid w:val="000E1005"/>
    <w:rsid w:val="000E4531"/>
    <w:rsid w:val="000E661F"/>
    <w:rsid w:val="000F1A8B"/>
    <w:rsid w:val="00100DDF"/>
    <w:rsid w:val="00102EDA"/>
    <w:rsid w:val="00103234"/>
    <w:rsid w:val="0011026E"/>
    <w:rsid w:val="001140CB"/>
    <w:rsid w:val="00114F7E"/>
    <w:rsid w:val="0011616B"/>
    <w:rsid w:val="00133060"/>
    <w:rsid w:val="0013367C"/>
    <w:rsid w:val="00133B3D"/>
    <w:rsid w:val="001479EE"/>
    <w:rsid w:val="00152BEE"/>
    <w:rsid w:val="00167B4F"/>
    <w:rsid w:val="0017407F"/>
    <w:rsid w:val="00185507"/>
    <w:rsid w:val="00193E7C"/>
    <w:rsid w:val="001968DB"/>
    <w:rsid w:val="001B5B1F"/>
    <w:rsid w:val="001B6EBF"/>
    <w:rsid w:val="001B78C0"/>
    <w:rsid w:val="001C0271"/>
    <w:rsid w:val="001C3E47"/>
    <w:rsid w:val="001F26DE"/>
    <w:rsid w:val="001F6F97"/>
    <w:rsid w:val="00201B4C"/>
    <w:rsid w:val="00204E60"/>
    <w:rsid w:val="0020773C"/>
    <w:rsid w:val="002138B3"/>
    <w:rsid w:val="0023072F"/>
    <w:rsid w:val="0023229A"/>
    <w:rsid w:val="00234857"/>
    <w:rsid w:val="0024089C"/>
    <w:rsid w:val="002452A8"/>
    <w:rsid w:val="002473DE"/>
    <w:rsid w:val="0026343C"/>
    <w:rsid w:val="00292B94"/>
    <w:rsid w:val="00296323"/>
    <w:rsid w:val="002A760B"/>
    <w:rsid w:val="002C0F0D"/>
    <w:rsid w:val="002C2BED"/>
    <w:rsid w:val="002C66A1"/>
    <w:rsid w:val="002D668C"/>
    <w:rsid w:val="002E155D"/>
    <w:rsid w:val="002F1684"/>
    <w:rsid w:val="002F2D4A"/>
    <w:rsid w:val="002F3498"/>
    <w:rsid w:val="00304101"/>
    <w:rsid w:val="00311CE9"/>
    <w:rsid w:val="0031222C"/>
    <w:rsid w:val="00316693"/>
    <w:rsid w:val="00322D45"/>
    <w:rsid w:val="00337FA8"/>
    <w:rsid w:val="003457EE"/>
    <w:rsid w:val="00353BB8"/>
    <w:rsid w:val="0037016F"/>
    <w:rsid w:val="00374650"/>
    <w:rsid w:val="003757FE"/>
    <w:rsid w:val="00395FE6"/>
    <w:rsid w:val="003B0184"/>
    <w:rsid w:val="003B0CDB"/>
    <w:rsid w:val="003B6314"/>
    <w:rsid w:val="003C1ECA"/>
    <w:rsid w:val="003C7EE0"/>
    <w:rsid w:val="003D241D"/>
    <w:rsid w:val="003D6F25"/>
    <w:rsid w:val="003E4E72"/>
    <w:rsid w:val="003F0F61"/>
    <w:rsid w:val="003F74FC"/>
    <w:rsid w:val="003F7BEB"/>
    <w:rsid w:val="00406579"/>
    <w:rsid w:val="00421CDB"/>
    <w:rsid w:val="004340F2"/>
    <w:rsid w:val="00436BBF"/>
    <w:rsid w:val="004423A9"/>
    <w:rsid w:val="004468DB"/>
    <w:rsid w:val="00447D09"/>
    <w:rsid w:val="004506FF"/>
    <w:rsid w:val="00451641"/>
    <w:rsid w:val="00467D26"/>
    <w:rsid w:val="004731E4"/>
    <w:rsid w:val="00475153"/>
    <w:rsid w:val="00475856"/>
    <w:rsid w:val="0049112F"/>
    <w:rsid w:val="004A04C9"/>
    <w:rsid w:val="004A57B9"/>
    <w:rsid w:val="004B59BD"/>
    <w:rsid w:val="004B6087"/>
    <w:rsid w:val="004C2AA3"/>
    <w:rsid w:val="004C3ECD"/>
    <w:rsid w:val="004C6604"/>
    <w:rsid w:val="004D5DBD"/>
    <w:rsid w:val="004D7FEA"/>
    <w:rsid w:val="004E7B0C"/>
    <w:rsid w:val="004F3885"/>
    <w:rsid w:val="004F5360"/>
    <w:rsid w:val="0053208B"/>
    <w:rsid w:val="00532B82"/>
    <w:rsid w:val="005341D1"/>
    <w:rsid w:val="00543716"/>
    <w:rsid w:val="00552944"/>
    <w:rsid w:val="00552A1E"/>
    <w:rsid w:val="00566C20"/>
    <w:rsid w:val="005759EE"/>
    <w:rsid w:val="005775D3"/>
    <w:rsid w:val="0058315D"/>
    <w:rsid w:val="005833EC"/>
    <w:rsid w:val="00585B73"/>
    <w:rsid w:val="00591E10"/>
    <w:rsid w:val="005942A5"/>
    <w:rsid w:val="005A5CE5"/>
    <w:rsid w:val="005B096B"/>
    <w:rsid w:val="005B20CF"/>
    <w:rsid w:val="005C0A69"/>
    <w:rsid w:val="005C2766"/>
    <w:rsid w:val="005C5A8A"/>
    <w:rsid w:val="005D1438"/>
    <w:rsid w:val="0061318A"/>
    <w:rsid w:val="00622F34"/>
    <w:rsid w:val="00635C6A"/>
    <w:rsid w:val="006412B6"/>
    <w:rsid w:val="006476E2"/>
    <w:rsid w:val="00662020"/>
    <w:rsid w:val="00665A91"/>
    <w:rsid w:val="00665AAB"/>
    <w:rsid w:val="00671572"/>
    <w:rsid w:val="00683D1D"/>
    <w:rsid w:val="00685658"/>
    <w:rsid w:val="00691BDD"/>
    <w:rsid w:val="006A066A"/>
    <w:rsid w:val="006A31C4"/>
    <w:rsid w:val="006A4AFF"/>
    <w:rsid w:val="006A7123"/>
    <w:rsid w:val="006C2BC8"/>
    <w:rsid w:val="006C4577"/>
    <w:rsid w:val="006D3B20"/>
    <w:rsid w:val="006D4AF0"/>
    <w:rsid w:val="00701C65"/>
    <w:rsid w:val="0070748C"/>
    <w:rsid w:val="0071381B"/>
    <w:rsid w:val="0071597C"/>
    <w:rsid w:val="00721384"/>
    <w:rsid w:val="00721F11"/>
    <w:rsid w:val="007260A2"/>
    <w:rsid w:val="00726592"/>
    <w:rsid w:val="00727BFA"/>
    <w:rsid w:val="00745961"/>
    <w:rsid w:val="00753737"/>
    <w:rsid w:val="00762A5F"/>
    <w:rsid w:val="007875CC"/>
    <w:rsid w:val="00790787"/>
    <w:rsid w:val="007A66FD"/>
    <w:rsid w:val="007A6AFF"/>
    <w:rsid w:val="007A6BE5"/>
    <w:rsid w:val="007D4093"/>
    <w:rsid w:val="007E26EC"/>
    <w:rsid w:val="007F1C7D"/>
    <w:rsid w:val="007F32F2"/>
    <w:rsid w:val="00801ED2"/>
    <w:rsid w:val="0080201B"/>
    <w:rsid w:val="00802AF1"/>
    <w:rsid w:val="00806427"/>
    <w:rsid w:val="008153A2"/>
    <w:rsid w:val="00816F65"/>
    <w:rsid w:val="008170C7"/>
    <w:rsid w:val="0082227D"/>
    <w:rsid w:val="00822283"/>
    <w:rsid w:val="00823CC5"/>
    <w:rsid w:val="0082765E"/>
    <w:rsid w:val="008324F1"/>
    <w:rsid w:val="00834899"/>
    <w:rsid w:val="00841A62"/>
    <w:rsid w:val="008435D5"/>
    <w:rsid w:val="008458F9"/>
    <w:rsid w:val="008552F3"/>
    <w:rsid w:val="008758DE"/>
    <w:rsid w:val="0088584F"/>
    <w:rsid w:val="008A27B9"/>
    <w:rsid w:val="008A2D7D"/>
    <w:rsid w:val="008B3788"/>
    <w:rsid w:val="008D1625"/>
    <w:rsid w:val="008D1F88"/>
    <w:rsid w:val="009117E9"/>
    <w:rsid w:val="00914505"/>
    <w:rsid w:val="0093476F"/>
    <w:rsid w:val="00935BF0"/>
    <w:rsid w:val="0094579F"/>
    <w:rsid w:val="00951B41"/>
    <w:rsid w:val="00955E23"/>
    <w:rsid w:val="00960087"/>
    <w:rsid w:val="00960506"/>
    <w:rsid w:val="0096291E"/>
    <w:rsid w:val="00967623"/>
    <w:rsid w:val="00977471"/>
    <w:rsid w:val="009776E8"/>
    <w:rsid w:val="00983463"/>
    <w:rsid w:val="009965EB"/>
    <w:rsid w:val="00996D15"/>
    <w:rsid w:val="009A0C7A"/>
    <w:rsid w:val="009A2A46"/>
    <w:rsid w:val="009A64C7"/>
    <w:rsid w:val="009B395A"/>
    <w:rsid w:val="009C0DEE"/>
    <w:rsid w:val="009C3FC9"/>
    <w:rsid w:val="009C481C"/>
    <w:rsid w:val="009C623C"/>
    <w:rsid w:val="009E19A5"/>
    <w:rsid w:val="009E4C1B"/>
    <w:rsid w:val="009E513B"/>
    <w:rsid w:val="009E5AD8"/>
    <w:rsid w:val="009F36E2"/>
    <w:rsid w:val="009F4225"/>
    <w:rsid w:val="009F6F99"/>
    <w:rsid w:val="00A11839"/>
    <w:rsid w:val="00A3534B"/>
    <w:rsid w:val="00A37EFB"/>
    <w:rsid w:val="00A43B9E"/>
    <w:rsid w:val="00A62430"/>
    <w:rsid w:val="00A70014"/>
    <w:rsid w:val="00A73E60"/>
    <w:rsid w:val="00A76416"/>
    <w:rsid w:val="00A771D5"/>
    <w:rsid w:val="00A775BA"/>
    <w:rsid w:val="00A8251D"/>
    <w:rsid w:val="00A829CA"/>
    <w:rsid w:val="00A95210"/>
    <w:rsid w:val="00AA15A9"/>
    <w:rsid w:val="00AA5078"/>
    <w:rsid w:val="00AA72C1"/>
    <w:rsid w:val="00AB39E8"/>
    <w:rsid w:val="00AC3C17"/>
    <w:rsid w:val="00AD0B41"/>
    <w:rsid w:val="00AE2C8C"/>
    <w:rsid w:val="00B06AD0"/>
    <w:rsid w:val="00B140C0"/>
    <w:rsid w:val="00B1448B"/>
    <w:rsid w:val="00B15E8C"/>
    <w:rsid w:val="00B25E4F"/>
    <w:rsid w:val="00B26602"/>
    <w:rsid w:val="00B3243D"/>
    <w:rsid w:val="00B32501"/>
    <w:rsid w:val="00B44E8F"/>
    <w:rsid w:val="00B54A9B"/>
    <w:rsid w:val="00B61207"/>
    <w:rsid w:val="00B652B1"/>
    <w:rsid w:val="00B668E5"/>
    <w:rsid w:val="00B6714E"/>
    <w:rsid w:val="00B74433"/>
    <w:rsid w:val="00B760F2"/>
    <w:rsid w:val="00B93D92"/>
    <w:rsid w:val="00B96414"/>
    <w:rsid w:val="00BA6591"/>
    <w:rsid w:val="00BB264F"/>
    <w:rsid w:val="00BE4D53"/>
    <w:rsid w:val="00C00728"/>
    <w:rsid w:val="00C00903"/>
    <w:rsid w:val="00C1169F"/>
    <w:rsid w:val="00C16EA4"/>
    <w:rsid w:val="00C3479D"/>
    <w:rsid w:val="00C53284"/>
    <w:rsid w:val="00C6470C"/>
    <w:rsid w:val="00C6706F"/>
    <w:rsid w:val="00C670A4"/>
    <w:rsid w:val="00C7630C"/>
    <w:rsid w:val="00C7630E"/>
    <w:rsid w:val="00C851AB"/>
    <w:rsid w:val="00C855EC"/>
    <w:rsid w:val="00C87344"/>
    <w:rsid w:val="00C91022"/>
    <w:rsid w:val="00C9380C"/>
    <w:rsid w:val="00CA3B4B"/>
    <w:rsid w:val="00CA3DB9"/>
    <w:rsid w:val="00CD4AA3"/>
    <w:rsid w:val="00CD5535"/>
    <w:rsid w:val="00CD5EC8"/>
    <w:rsid w:val="00D05387"/>
    <w:rsid w:val="00D06798"/>
    <w:rsid w:val="00D159C9"/>
    <w:rsid w:val="00D16439"/>
    <w:rsid w:val="00D238F7"/>
    <w:rsid w:val="00D323E0"/>
    <w:rsid w:val="00D4465D"/>
    <w:rsid w:val="00D5324B"/>
    <w:rsid w:val="00D53F99"/>
    <w:rsid w:val="00D554FB"/>
    <w:rsid w:val="00D603BC"/>
    <w:rsid w:val="00D6200E"/>
    <w:rsid w:val="00D65A8D"/>
    <w:rsid w:val="00D7020B"/>
    <w:rsid w:val="00D73EC2"/>
    <w:rsid w:val="00D750B9"/>
    <w:rsid w:val="00D863D5"/>
    <w:rsid w:val="00D86A7C"/>
    <w:rsid w:val="00D906B0"/>
    <w:rsid w:val="00D95638"/>
    <w:rsid w:val="00D97514"/>
    <w:rsid w:val="00DA4400"/>
    <w:rsid w:val="00DA5A2E"/>
    <w:rsid w:val="00DA7C4E"/>
    <w:rsid w:val="00DB0B04"/>
    <w:rsid w:val="00DB209A"/>
    <w:rsid w:val="00DB3AD1"/>
    <w:rsid w:val="00DB5C34"/>
    <w:rsid w:val="00DC2899"/>
    <w:rsid w:val="00DC4DDA"/>
    <w:rsid w:val="00DD32C2"/>
    <w:rsid w:val="00DD5D18"/>
    <w:rsid w:val="00DF6EF2"/>
    <w:rsid w:val="00E0005B"/>
    <w:rsid w:val="00E06733"/>
    <w:rsid w:val="00E12E88"/>
    <w:rsid w:val="00E2593E"/>
    <w:rsid w:val="00E44EBA"/>
    <w:rsid w:val="00E457E6"/>
    <w:rsid w:val="00E46FF4"/>
    <w:rsid w:val="00E51184"/>
    <w:rsid w:val="00E73C2A"/>
    <w:rsid w:val="00E741BB"/>
    <w:rsid w:val="00E74FCC"/>
    <w:rsid w:val="00E80CE8"/>
    <w:rsid w:val="00E97EBB"/>
    <w:rsid w:val="00EA517C"/>
    <w:rsid w:val="00EB1A54"/>
    <w:rsid w:val="00EB2B07"/>
    <w:rsid w:val="00EB3E4C"/>
    <w:rsid w:val="00EB7F76"/>
    <w:rsid w:val="00ED65A2"/>
    <w:rsid w:val="00ED75CD"/>
    <w:rsid w:val="00EE286E"/>
    <w:rsid w:val="00EF5CF6"/>
    <w:rsid w:val="00EF60EB"/>
    <w:rsid w:val="00F04C83"/>
    <w:rsid w:val="00F20A21"/>
    <w:rsid w:val="00F356BF"/>
    <w:rsid w:val="00F41742"/>
    <w:rsid w:val="00F60620"/>
    <w:rsid w:val="00F664F4"/>
    <w:rsid w:val="00F747E4"/>
    <w:rsid w:val="00F77022"/>
    <w:rsid w:val="00F80616"/>
    <w:rsid w:val="00F87158"/>
    <w:rsid w:val="00F949D8"/>
    <w:rsid w:val="00F951F4"/>
    <w:rsid w:val="00F9623B"/>
    <w:rsid w:val="00F978E0"/>
    <w:rsid w:val="00FA2331"/>
    <w:rsid w:val="00FA7F3C"/>
    <w:rsid w:val="00FB054C"/>
    <w:rsid w:val="00FC0116"/>
    <w:rsid w:val="00FC3536"/>
    <w:rsid w:val="00FF449B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79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0F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0F0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C0F0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5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0F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0F0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C0F0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5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40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573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hraction.org/wp-content/uploads/Bilten-55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D2A4-1AD7-4464-BC15-5659D51B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2015-07-31T14:56:00Z</cp:lastPrinted>
  <dcterms:created xsi:type="dcterms:W3CDTF">2015-07-31T14:57:00Z</dcterms:created>
  <dcterms:modified xsi:type="dcterms:W3CDTF">2015-07-31T14:57:00Z</dcterms:modified>
</cp:coreProperties>
</file>