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1C0271" w:rsidRDefault="000830F1" w:rsidP="001479EE">
      <w:pPr>
        <w:keepNext/>
        <w:keepLines/>
        <w:spacing w:before="480" w:after="0"/>
        <w:jc w:val="both"/>
        <w:outlineLvl w:val="0"/>
        <w:rPr>
          <w:rFonts w:asciiTheme="majorHAnsi" w:eastAsia="Times New Roman" w:hAnsiTheme="majorHAnsi" w:cs="Times New Roman"/>
          <w:b/>
          <w:bCs/>
          <w:sz w:val="24"/>
          <w:szCs w:val="24"/>
          <w:lang w:val="uz-Cyrl-UZ"/>
        </w:rPr>
      </w:pPr>
      <w:r w:rsidRPr="001C0271">
        <w:rPr>
          <w:rFonts w:asciiTheme="majorHAnsi" w:eastAsia="Times New Roman" w:hAnsiTheme="majorHAnsi" w:cs="Times New Roman"/>
          <w:b/>
          <w:bCs/>
          <w:noProof/>
          <w:color w:val="365F91"/>
          <w:sz w:val="24"/>
          <w:szCs w:val="24"/>
          <w:lang w:val="sr-Latn-ME" w:eastAsia="sr-Latn-ME"/>
        </w:rPr>
        <w:drawing>
          <wp:anchor distT="0" distB="0" distL="114300" distR="114300" simplePos="0" relativeHeight="251659264" behindDoc="1" locked="0" layoutInCell="1" allowOverlap="1" wp14:anchorId="33A5D6D5" wp14:editId="7C2F7607">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1C0271" w:rsidRDefault="000830F1" w:rsidP="001479EE">
      <w:pPr>
        <w:keepNext/>
        <w:keepLines/>
        <w:spacing w:before="480" w:after="240"/>
        <w:jc w:val="both"/>
        <w:outlineLvl w:val="0"/>
        <w:rPr>
          <w:rFonts w:asciiTheme="majorHAnsi" w:eastAsia="Times New Roman" w:hAnsiTheme="majorHAnsi" w:cs="Times New Roman"/>
          <w:b/>
          <w:bCs/>
          <w:sz w:val="24"/>
          <w:szCs w:val="24"/>
          <w:lang w:val="uz-Cyrl-UZ"/>
        </w:rPr>
      </w:pPr>
      <w:r w:rsidRPr="001C0271">
        <w:rPr>
          <w:rFonts w:asciiTheme="majorHAnsi" w:eastAsia="Times New Roman" w:hAnsiTheme="majorHAnsi" w:cs="Times New Roman"/>
          <w:b/>
          <w:bCs/>
          <w:sz w:val="24"/>
          <w:szCs w:val="24"/>
          <w:lang w:val="uz-Cyrl-UZ"/>
        </w:rPr>
        <w:t xml:space="preserve">Sloboda izražavanja – presude Evropskog suda za ljudska prava </w:t>
      </w:r>
    </w:p>
    <w:p w:rsidR="000830F1" w:rsidRPr="004A04C9" w:rsidRDefault="001479EE" w:rsidP="001479EE">
      <w:pPr>
        <w:keepNext/>
        <w:keepLines/>
        <w:spacing w:before="480" w:after="0"/>
        <w:jc w:val="both"/>
        <w:outlineLvl w:val="0"/>
        <w:rPr>
          <w:rFonts w:asciiTheme="majorHAnsi" w:eastAsia="Times New Roman" w:hAnsiTheme="majorHAnsi" w:cs="Times New Roman"/>
          <w:b/>
          <w:bCs/>
          <w:sz w:val="28"/>
          <w:szCs w:val="28"/>
          <w:lang w:val="uz-Cyrl-UZ"/>
        </w:rPr>
      </w:pPr>
      <w:bookmarkStart w:id="0" w:name="_GoBack"/>
      <w:r w:rsidRPr="004A04C9">
        <w:rPr>
          <w:rFonts w:asciiTheme="majorHAnsi" w:eastAsia="Times New Roman" w:hAnsiTheme="majorHAnsi" w:cs="Times New Roman"/>
          <w:b/>
          <w:bCs/>
          <w:sz w:val="28"/>
          <w:szCs w:val="28"/>
          <w:lang w:val="uz-Cyrl-UZ"/>
        </w:rPr>
        <w:t>Bilten L</w:t>
      </w:r>
      <w:r w:rsidR="000830F1" w:rsidRPr="004A04C9">
        <w:rPr>
          <w:rFonts w:asciiTheme="majorHAnsi" w:eastAsia="Times New Roman" w:hAnsiTheme="majorHAnsi" w:cs="Times New Roman"/>
          <w:b/>
          <w:bCs/>
          <w:sz w:val="28"/>
          <w:szCs w:val="28"/>
          <w:lang w:val="uz-Cyrl-UZ"/>
        </w:rPr>
        <w:t xml:space="preserve">: PREGLED PRESUDA IZ </w:t>
      </w:r>
      <w:r w:rsidRPr="004A04C9">
        <w:rPr>
          <w:rFonts w:asciiTheme="majorHAnsi" w:eastAsia="Times New Roman" w:hAnsiTheme="majorHAnsi" w:cs="Times New Roman"/>
          <w:b/>
          <w:bCs/>
          <w:sz w:val="28"/>
          <w:szCs w:val="28"/>
          <w:lang w:val="uz-Cyrl-UZ"/>
        </w:rPr>
        <w:t>FEBRUARA</w:t>
      </w:r>
      <w:r w:rsidR="0082765E" w:rsidRPr="004A04C9">
        <w:rPr>
          <w:rFonts w:asciiTheme="majorHAnsi" w:eastAsia="Times New Roman" w:hAnsiTheme="majorHAnsi" w:cs="Times New Roman"/>
          <w:b/>
          <w:bCs/>
          <w:sz w:val="28"/>
          <w:szCs w:val="28"/>
          <w:lang w:val="uz-Cyrl-UZ"/>
        </w:rPr>
        <w:t xml:space="preserve"> 2015.</w:t>
      </w:r>
    </w:p>
    <w:bookmarkEnd w:id="0"/>
    <w:p w:rsidR="000830F1" w:rsidRPr="001C0271" w:rsidRDefault="00D06798" w:rsidP="001479EE">
      <w:pPr>
        <w:spacing w:line="480" w:lineRule="auto"/>
        <w:jc w:val="both"/>
        <w:rPr>
          <w:rFonts w:asciiTheme="majorHAnsi" w:eastAsia="Calibri" w:hAnsiTheme="majorHAnsi" w:cs="Times New Roman"/>
          <w:i/>
          <w:sz w:val="24"/>
          <w:szCs w:val="24"/>
          <w:lang w:val="uz-Cyrl-UZ"/>
        </w:rPr>
      </w:pPr>
      <w:r w:rsidRPr="001C0271">
        <w:rPr>
          <w:rFonts w:asciiTheme="majorHAnsi" w:eastAsia="Calibri" w:hAnsiTheme="majorHAnsi" w:cs="Times New Roman"/>
          <w:noProof/>
          <w:sz w:val="24"/>
          <w:szCs w:val="24"/>
          <w:lang w:val="sr-Latn-ME" w:eastAsia="sr-Latn-ME"/>
        </w:rPr>
        <mc:AlternateContent>
          <mc:Choice Requires="wps">
            <w:drawing>
              <wp:anchor distT="0" distB="0" distL="114300" distR="114300" simplePos="0" relativeHeight="251660288" behindDoc="0" locked="0" layoutInCell="1" allowOverlap="1" wp14:anchorId="43CFE3C7" wp14:editId="19621F3D">
                <wp:simplePos x="0" y="0"/>
                <wp:positionH relativeFrom="column">
                  <wp:posOffset>-25535</wp:posOffset>
                </wp:positionH>
                <wp:positionV relativeFrom="paragraph">
                  <wp:posOffset>423545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33.3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oCDP++AAAAAIAQAA&#10;DwAAAGRycy9kb3ducmV2LnhtbEyPwU7DMBBE70j8g7VIXFDrpIK0hDgVIKEe6KUFRI+beEki7HUU&#10;u034e9wTHGdnNfOmWE/WiBMNvnOsIJ0nIIhrpztuFLy/vcxWIHxA1mgck4If8rAuLy8KzLUbeUen&#10;fWhEDGGfo4I2hD6X0tctWfRz1xNH78sNFkOUQyP1gGMMt0YukiSTFjuODS329NxS/b0/WgVPnzcy&#10;SZebxWHcfOyMPlTVdnxV6vpqenwAEWgKf89wxo/oUEamyh1Ze2EUzG7jlKAgy5Ygon+f3mUgqvNh&#10;BbIs5P8B5S8AAAD//wMAUEsBAi0AFAAGAAgAAAAhALaDOJL+AAAA4QEAABMAAAAAAAAAAAAAAAAA&#10;AAAAAFtDb250ZW50X1R5cGVzXS54bWxQSwECLQAUAAYACAAAACEAOP0h/9YAAACUAQAACwAAAAAA&#10;AAAAAAAAAAAvAQAAX3JlbHMvLnJlbHNQSwECLQAUAAYACAAAACEABZMJ4jkCAABwBAAADgAAAAAA&#10;AAAAAAAAAAAuAgAAZHJzL2Uyb0RvYy54bWxQSwECLQAUAAYACAAAACEAoCDP++AAAAAIAQAADwAA&#10;AAAAAAAAAAAAAACTBAAAZHJzL2Rvd25yZXYueG1sUEsFBgAAAAAEAAQA8wAAAKAFAAAAAA==&#10;" adj="10800" strokecolor="#903" strokeweight="1.5pt"/>
            </w:pict>
          </mc:Fallback>
        </mc:AlternateContent>
      </w:r>
      <w:r w:rsidR="001479EE" w:rsidRPr="001C0271">
        <w:rPr>
          <w:rFonts w:asciiTheme="majorHAnsi" w:eastAsia="Calibri" w:hAnsiTheme="majorHAnsi" w:cs="Times New Roman"/>
          <w:i/>
          <w:sz w:val="24"/>
          <w:szCs w:val="24"/>
          <w:lang w:val="uz-Cyrl-UZ"/>
        </w:rPr>
        <w:t>26</w:t>
      </w:r>
      <w:r w:rsidR="000830F1" w:rsidRPr="001C0271">
        <w:rPr>
          <w:rFonts w:asciiTheme="majorHAnsi" w:eastAsia="Calibri" w:hAnsiTheme="majorHAnsi" w:cs="Times New Roman"/>
          <w:i/>
          <w:sz w:val="24"/>
          <w:szCs w:val="24"/>
          <w:lang w:val="uz-Cyrl-UZ"/>
        </w:rPr>
        <w:t>.</w:t>
      </w:r>
      <w:r w:rsidR="001479EE" w:rsidRPr="001C0271">
        <w:rPr>
          <w:rFonts w:asciiTheme="majorHAnsi" w:eastAsia="Calibri" w:hAnsiTheme="majorHAnsi" w:cs="Times New Roman"/>
          <w:i/>
          <w:sz w:val="24"/>
          <w:szCs w:val="24"/>
          <w:lang w:val="uz-Cyrl-UZ"/>
        </w:rPr>
        <w:t xml:space="preserve"> mart 2015.</w:t>
      </w:r>
    </w:p>
    <w:p w:rsidR="000830F1" w:rsidRPr="001C0271" w:rsidRDefault="000830F1" w:rsidP="001479EE">
      <w:pPr>
        <w:spacing w:after="0"/>
        <w:contextualSpacing/>
        <w:jc w:val="both"/>
        <w:rPr>
          <w:rFonts w:asciiTheme="majorHAnsi" w:eastAsia="Calibri" w:hAnsiTheme="majorHAnsi" w:cs="Times New Roman"/>
          <w:sz w:val="24"/>
          <w:szCs w:val="24"/>
          <w:lang w:val="uz-Cyrl-UZ"/>
        </w:rPr>
      </w:pPr>
    </w:p>
    <w:p w:rsidR="0082227D" w:rsidRPr="001C0271" w:rsidRDefault="001479EE" w:rsidP="001479EE">
      <w:pPr>
        <w:tabs>
          <w:tab w:val="left" w:pos="7295"/>
        </w:tabs>
        <w:jc w:val="both"/>
        <w:rPr>
          <w:rFonts w:asciiTheme="majorHAnsi" w:eastAsia="Calibri" w:hAnsiTheme="majorHAnsi" w:cs="Times New Roman"/>
          <w:sz w:val="24"/>
          <w:szCs w:val="24"/>
          <w:lang w:val="uz-Cyrl-UZ"/>
        </w:rPr>
      </w:pPr>
      <w:r w:rsidRPr="001C0271">
        <w:rPr>
          <w:rFonts w:asciiTheme="majorHAnsi" w:eastAsia="Calibri" w:hAnsiTheme="majorHAnsi" w:cs="Times New Roman"/>
          <w:sz w:val="24"/>
          <w:szCs w:val="24"/>
          <w:lang w:val="uz-Cyrl-UZ"/>
        </w:rPr>
        <w:t>U februaru</w:t>
      </w:r>
      <w:r w:rsidR="0082765E" w:rsidRPr="001C0271">
        <w:rPr>
          <w:rFonts w:asciiTheme="majorHAnsi" w:eastAsia="Calibri" w:hAnsiTheme="majorHAnsi" w:cs="Times New Roman"/>
          <w:sz w:val="24"/>
          <w:szCs w:val="24"/>
          <w:lang w:val="uz-Cyrl-UZ"/>
        </w:rPr>
        <w:t xml:space="preserve"> 2015, Evropski sud za ljudska prava je odlučivao u sljedećim slučajevima koji su se odnosili na slobodu izražavanja:  </w:t>
      </w:r>
    </w:p>
    <w:p w:rsidR="001479EE" w:rsidRPr="001C0271" w:rsidRDefault="001479EE" w:rsidP="00DC4DDA">
      <w:pPr>
        <w:pStyle w:val="ListParagraph"/>
        <w:numPr>
          <w:ilvl w:val="0"/>
          <w:numId w:val="10"/>
        </w:numPr>
        <w:jc w:val="both"/>
        <w:rPr>
          <w:rFonts w:asciiTheme="majorHAnsi" w:hAnsiTheme="majorHAnsi"/>
          <w:sz w:val="24"/>
          <w:szCs w:val="24"/>
          <w:lang w:val="uz-Cyrl-UZ"/>
        </w:rPr>
      </w:pPr>
      <w:r w:rsidRPr="001C0271">
        <w:rPr>
          <w:rFonts w:asciiTheme="majorHAnsi" w:hAnsiTheme="majorHAnsi"/>
          <w:b/>
          <w:sz w:val="24"/>
          <w:szCs w:val="24"/>
          <w:lang w:val="uz-Cyrl-UZ"/>
        </w:rPr>
        <w:t>Bayar i Gürbüz protiv Turske (br. 2)</w:t>
      </w:r>
      <w:r w:rsidRPr="001C0271">
        <w:rPr>
          <w:rFonts w:asciiTheme="majorHAnsi" w:hAnsiTheme="majorHAnsi"/>
          <w:sz w:val="24"/>
          <w:szCs w:val="24"/>
          <w:lang w:val="uz-Cyrl-UZ"/>
        </w:rPr>
        <w:t xml:space="preserve"> (predstavka br. 33037/07), 3. februar 2015: </w:t>
      </w:r>
      <w:r w:rsidR="00DC4DDA" w:rsidRPr="001C0271">
        <w:rPr>
          <w:rFonts w:asciiTheme="majorHAnsi" w:hAnsiTheme="majorHAnsi"/>
          <w:sz w:val="24"/>
          <w:szCs w:val="24"/>
          <w:lang w:val="uz-Cyrl-UZ"/>
        </w:rPr>
        <w:t xml:space="preserve">osudom zbog prenošenja novogodišnjeg obraćanja predstavnika PKK </w:t>
      </w:r>
      <w:r w:rsidR="00665A91" w:rsidRPr="001C0271">
        <w:rPr>
          <w:rFonts w:asciiTheme="majorHAnsi" w:hAnsiTheme="majorHAnsi"/>
          <w:sz w:val="24"/>
          <w:szCs w:val="24"/>
          <w:lang w:val="uz-Cyrl-UZ"/>
        </w:rPr>
        <w:t xml:space="preserve">prekršeno </w:t>
      </w:r>
      <w:r w:rsidR="00DC4DDA" w:rsidRPr="001C0271">
        <w:rPr>
          <w:rFonts w:asciiTheme="majorHAnsi" w:hAnsiTheme="majorHAnsi"/>
          <w:sz w:val="24"/>
          <w:szCs w:val="24"/>
          <w:lang w:val="uz-Cyrl-UZ"/>
        </w:rPr>
        <w:t>je pravo na slobodu izražavanja;</w:t>
      </w:r>
    </w:p>
    <w:p w:rsidR="004731E4" w:rsidRPr="001C0271" w:rsidRDefault="001479EE" w:rsidP="004731E4">
      <w:pPr>
        <w:pStyle w:val="ListParagraph"/>
        <w:numPr>
          <w:ilvl w:val="0"/>
          <w:numId w:val="10"/>
        </w:numPr>
        <w:jc w:val="both"/>
        <w:rPr>
          <w:rFonts w:asciiTheme="majorHAnsi" w:hAnsiTheme="majorHAnsi"/>
          <w:sz w:val="24"/>
          <w:szCs w:val="24"/>
          <w:lang w:val="uz-Cyrl-UZ"/>
        </w:rPr>
      </w:pPr>
      <w:r w:rsidRPr="001C0271">
        <w:rPr>
          <w:rFonts w:asciiTheme="majorHAnsi" w:hAnsiTheme="majorHAnsi"/>
          <w:b/>
          <w:sz w:val="24"/>
          <w:szCs w:val="24"/>
          <w:lang w:val="uz-Cyrl-UZ"/>
        </w:rPr>
        <w:t>Yoslun protiv Turske</w:t>
      </w:r>
      <w:r w:rsidRPr="001C0271">
        <w:rPr>
          <w:rFonts w:asciiTheme="majorHAnsi" w:hAnsiTheme="majorHAnsi"/>
          <w:sz w:val="24"/>
          <w:szCs w:val="24"/>
          <w:lang w:val="uz-Cyrl-UZ"/>
        </w:rPr>
        <w:t xml:space="preserve"> (predstavka br. 2336/05), 10 februar 2015: </w:t>
      </w:r>
      <w:r w:rsidR="00C3479D" w:rsidRPr="001C0271">
        <w:rPr>
          <w:rFonts w:asciiTheme="majorHAnsi" w:hAnsiTheme="majorHAnsi"/>
          <w:sz w:val="24"/>
          <w:szCs w:val="24"/>
          <w:lang w:val="uz-Cyrl-UZ"/>
        </w:rPr>
        <w:t>novčanom kaznom</w:t>
      </w:r>
      <w:r w:rsidR="004731E4" w:rsidRPr="001C0271">
        <w:rPr>
          <w:rFonts w:asciiTheme="majorHAnsi" w:hAnsiTheme="majorHAnsi"/>
          <w:sz w:val="24"/>
          <w:szCs w:val="24"/>
          <w:lang w:val="uz-Cyrl-UZ"/>
        </w:rPr>
        <w:t xml:space="preserve"> za „neovlašćeno“ političko komentarisanje </w:t>
      </w:r>
      <w:r w:rsidR="00C3479D" w:rsidRPr="001C0271">
        <w:rPr>
          <w:rFonts w:asciiTheme="majorHAnsi" w:hAnsiTheme="majorHAnsi"/>
          <w:sz w:val="24"/>
          <w:szCs w:val="24"/>
          <w:lang w:val="uz-Cyrl-UZ"/>
        </w:rPr>
        <w:t>je prekršeno</w:t>
      </w:r>
      <w:r w:rsidR="004731E4" w:rsidRPr="001C0271">
        <w:rPr>
          <w:rFonts w:asciiTheme="majorHAnsi" w:hAnsiTheme="majorHAnsi"/>
          <w:sz w:val="24"/>
          <w:szCs w:val="24"/>
          <w:lang w:val="uz-Cyrl-UZ"/>
        </w:rPr>
        <w:t xml:space="preserve"> pravo na slobodu izražavanja;</w:t>
      </w:r>
    </w:p>
    <w:p w:rsidR="001479EE" w:rsidRPr="001C0271" w:rsidRDefault="00C3479D" w:rsidP="00C3479D">
      <w:pPr>
        <w:pStyle w:val="ListParagraph"/>
        <w:numPr>
          <w:ilvl w:val="0"/>
          <w:numId w:val="10"/>
        </w:numPr>
        <w:jc w:val="both"/>
        <w:rPr>
          <w:rFonts w:asciiTheme="majorHAnsi" w:hAnsiTheme="majorHAnsi"/>
          <w:sz w:val="24"/>
          <w:szCs w:val="24"/>
          <w:lang w:val="uz-Cyrl-UZ"/>
        </w:rPr>
      </w:pPr>
      <w:r w:rsidRPr="001C0271">
        <w:rPr>
          <w:rFonts w:asciiTheme="majorHAnsi" w:hAnsiTheme="majorHAnsi"/>
          <w:b/>
          <w:sz w:val="24"/>
          <w:szCs w:val="24"/>
          <w:lang w:val="uz-Cyrl-UZ"/>
        </w:rPr>
        <w:t>Cojocaru protiv Rumunije</w:t>
      </w:r>
      <w:r w:rsidR="001479EE" w:rsidRPr="001C0271">
        <w:rPr>
          <w:rFonts w:asciiTheme="majorHAnsi" w:hAnsiTheme="majorHAnsi"/>
          <w:b/>
          <w:sz w:val="24"/>
          <w:szCs w:val="24"/>
          <w:lang w:val="uz-Cyrl-UZ"/>
        </w:rPr>
        <w:t xml:space="preserve"> </w:t>
      </w:r>
      <w:r w:rsidR="001479EE" w:rsidRPr="001C0271">
        <w:rPr>
          <w:rFonts w:asciiTheme="majorHAnsi" w:hAnsiTheme="majorHAnsi"/>
          <w:sz w:val="24"/>
          <w:szCs w:val="24"/>
          <w:lang w:val="uz-Cyrl-UZ"/>
        </w:rPr>
        <w:t>(predstavka br. 32104/06), 10</w:t>
      </w:r>
      <w:r w:rsidRPr="001C0271">
        <w:rPr>
          <w:rFonts w:asciiTheme="majorHAnsi" w:hAnsiTheme="majorHAnsi"/>
          <w:sz w:val="24"/>
          <w:szCs w:val="24"/>
          <w:lang w:val="uz-Cyrl-UZ"/>
        </w:rPr>
        <w:t>.</w:t>
      </w:r>
      <w:r w:rsidR="001479EE" w:rsidRPr="001C0271">
        <w:rPr>
          <w:rFonts w:asciiTheme="majorHAnsi" w:hAnsiTheme="majorHAnsi"/>
          <w:sz w:val="24"/>
          <w:szCs w:val="24"/>
          <w:lang w:val="uz-Cyrl-UZ"/>
        </w:rPr>
        <w:t xml:space="preserve"> </w:t>
      </w:r>
      <w:r w:rsidRPr="001C0271">
        <w:rPr>
          <w:rFonts w:asciiTheme="majorHAnsi" w:hAnsiTheme="majorHAnsi"/>
          <w:sz w:val="24"/>
          <w:szCs w:val="24"/>
          <w:lang w:val="uz-Cyrl-UZ"/>
        </w:rPr>
        <w:t>februar 2015</w:t>
      </w:r>
      <w:r w:rsidR="001479EE" w:rsidRPr="001C0271">
        <w:rPr>
          <w:rFonts w:asciiTheme="majorHAnsi" w:hAnsiTheme="majorHAnsi"/>
          <w:sz w:val="24"/>
          <w:szCs w:val="24"/>
          <w:lang w:val="uz-Cyrl-UZ"/>
        </w:rPr>
        <w:t xml:space="preserve">: </w:t>
      </w:r>
      <w:r w:rsidRPr="001C0271">
        <w:rPr>
          <w:rFonts w:asciiTheme="majorHAnsi" w:hAnsiTheme="majorHAnsi"/>
          <w:sz w:val="24"/>
          <w:szCs w:val="24"/>
          <w:lang w:val="uz-Cyrl-UZ"/>
        </w:rPr>
        <w:t>osudom</w:t>
      </w:r>
      <w:r w:rsidR="00EE286E" w:rsidRPr="001C0271">
        <w:rPr>
          <w:rFonts w:asciiTheme="majorHAnsi" w:hAnsiTheme="majorHAnsi"/>
          <w:sz w:val="24"/>
          <w:szCs w:val="24"/>
          <w:lang w:val="uz-Cyrl-UZ"/>
        </w:rPr>
        <w:t xml:space="preserve"> za klevetu zbog provokativnog članka koj</w:t>
      </w:r>
      <w:r w:rsidRPr="001C0271">
        <w:rPr>
          <w:rFonts w:asciiTheme="majorHAnsi" w:hAnsiTheme="majorHAnsi"/>
          <w:sz w:val="24"/>
          <w:szCs w:val="24"/>
          <w:lang w:val="uz-Cyrl-UZ"/>
        </w:rPr>
        <w:t>im je gradonačelnik pozvan da podnese</w:t>
      </w:r>
      <w:r w:rsidR="00EE286E" w:rsidRPr="001C0271">
        <w:rPr>
          <w:rFonts w:asciiTheme="majorHAnsi" w:hAnsiTheme="majorHAnsi"/>
          <w:sz w:val="24"/>
          <w:szCs w:val="24"/>
          <w:lang w:val="uz-Cyrl-UZ"/>
        </w:rPr>
        <w:t xml:space="preserve"> ostavku je p</w:t>
      </w:r>
      <w:r w:rsidR="001140CB">
        <w:rPr>
          <w:rFonts w:asciiTheme="majorHAnsi" w:hAnsiTheme="majorHAnsi"/>
          <w:sz w:val="24"/>
          <w:szCs w:val="24"/>
          <w:lang w:val="uz-Cyrl-UZ"/>
        </w:rPr>
        <w:t>rekršeno</w:t>
      </w:r>
      <w:r w:rsidR="00EE286E" w:rsidRPr="001C0271">
        <w:rPr>
          <w:rFonts w:asciiTheme="majorHAnsi" w:hAnsiTheme="majorHAnsi"/>
          <w:sz w:val="24"/>
          <w:szCs w:val="24"/>
          <w:lang w:val="uz-Cyrl-UZ"/>
        </w:rPr>
        <w:t xml:space="preserve"> pravo na slobodu izražavanja;</w:t>
      </w:r>
    </w:p>
    <w:p w:rsidR="004B6087" w:rsidRPr="001C0271" w:rsidRDefault="004B6087" w:rsidP="001479EE">
      <w:pPr>
        <w:pStyle w:val="ListParagraph"/>
        <w:numPr>
          <w:ilvl w:val="0"/>
          <w:numId w:val="10"/>
        </w:numPr>
        <w:jc w:val="both"/>
        <w:rPr>
          <w:rFonts w:asciiTheme="majorHAnsi" w:hAnsiTheme="majorHAnsi"/>
          <w:sz w:val="24"/>
          <w:szCs w:val="24"/>
          <w:lang w:val="uz-Cyrl-UZ"/>
        </w:rPr>
      </w:pPr>
      <w:r w:rsidRPr="001C0271">
        <w:rPr>
          <w:rFonts w:asciiTheme="majorHAnsi" w:hAnsiTheme="majorHAnsi"/>
          <w:b/>
          <w:sz w:val="24"/>
          <w:szCs w:val="24"/>
          <w:lang w:val="uz-Cyrl-UZ"/>
        </w:rPr>
        <w:t>Guseva protiv Bugarske</w:t>
      </w:r>
      <w:r w:rsidRPr="001C0271">
        <w:rPr>
          <w:rFonts w:asciiTheme="majorHAnsi" w:hAnsiTheme="majorHAnsi"/>
          <w:sz w:val="24"/>
          <w:szCs w:val="24"/>
          <w:lang w:val="uz-Cyrl-UZ"/>
        </w:rPr>
        <w:t xml:space="preserve"> (predstavka br. 6987/07), 17. februar 2015: odbijanjem objavljivanja informacija o pravima životinja </w:t>
      </w:r>
      <w:r w:rsidR="00193E7C">
        <w:rPr>
          <w:rFonts w:asciiTheme="majorHAnsi" w:hAnsiTheme="majorHAnsi"/>
          <w:sz w:val="24"/>
          <w:szCs w:val="24"/>
          <w:lang w:val="uz-Cyrl-UZ"/>
        </w:rPr>
        <w:t xml:space="preserve">je </w:t>
      </w:r>
      <w:r w:rsidRPr="001C0271">
        <w:rPr>
          <w:rFonts w:asciiTheme="majorHAnsi" w:hAnsiTheme="majorHAnsi"/>
          <w:sz w:val="24"/>
          <w:szCs w:val="24"/>
          <w:lang w:val="uz-Cyrl-UZ"/>
        </w:rPr>
        <w:t>prekršeno pravo na slobodu izražavanja;</w:t>
      </w:r>
    </w:p>
    <w:p w:rsidR="001479EE" w:rsidRDefault="001479EE" w:rsidP="001479EE">
      <w:pPr>
        <w:pStyle w:val="ListParagraph"/>
        <w:numPr>
          <w:ilvl w:val="0"/>
          <w:numId w:val="10"/>
        </w:numPr>
        <w:jc w:val="both"/>
        <w:rPr>
          <w:rFonts w:asciiTheme="majorHAnsi" w:hAnsiTheme="majorHAnsi"/>
          <w:sz w:val="24"/>
          <w:szCs w:val="24"/>
          <w:lang w:val="uz-Cyrl-UZ"/>
        </w:rPr>
      </w:pPr>
      <w:r w:rsidRPr="001C0271">
        <w:rPr>
          <w:rFonts w:asciiTheme="majorHAnsi" w:hAnsiTheme="majorHAnsi"/>
          <w:b/>
          <w:sz w:val="24"/>
          <w:szCs w:val="24"/>
          <w:lang w:val="uz-Cyrl-UZ"/>
        </w:rPr>
        <w:t>Bohlen i Von Hannover protiv Njemačke</w:t>
      </w:r>
      <w:r w:rsidRPr="001C0271">
        <w:rPr>
          <w:rFonts w:asciiTheme="majorHAnsi" w:hAnsiTheme="majorHAnsi"/>
          <w:sz w:val="24"/>
          <w:szCs w:val="24"/>
          <w:lang w:val="uz-Cyrl-UZ"/>
        </w:rPr>
        <w:t xml:space="preserve"> (predstavka br. 53495/09), 19. februar 2015: </w:t>
      </w:r>
      <w:r w:rsidR="00AE2C8C" w:rsidRPr="001C0271">
        <w:rPr>
          <w:rFonts w:asciiTheme="majorHAnsi" w:hAnsiTheme="majorHAnsi"/>
          <w:sz w:val="24"/>
          <w:szCs w:val="24"/>
          <w:lang w:val="uz-Cyrl-UZ"/>
        </w:rPr>
        <w:t>upotr</w:t>
      </w:r>
      <w:r w:rsidR="0020773C">
        <w:rPr>
          <w:rFonts w:asciiTheme="majorHAnsi" w:hAnsiTheme="majorHAnsi"/>
          <w:sz w:val="24"/>
          <w:szCs w:val="24"/>
          <w:lang w:val="uz-Cyrl-UZ"/>
        </w:rPr>
        <w:t>ebom</w:t>
      </w:r>
      <w:r w:rsidR="00AE2C8C" w:rsidRPr="001C0271">
        <w:rPr>
          <w:rFonts w:asciiTheme="majorHAnsi" w:hAnsiTheme="majorHAnsi"/>
          <w:sz w:val="24"/>
          <w:szCs w:val="24"/>
          <w:lang w:val="uz-Cyrl-UZ"/>
        </w:rPr>
        <w:t xml:space="preserve"> imena poznatih ličnosti u </w:t>
      </w:r>
      <w:r w:rsidR="00193E7C">
        <w:rPr>
          <w:rFonts w:asciiTheme="majorHAnsi" w:hAnsiTheme="majorHAnsi"/>
          <w:sz w:val="24"/>
          <w:szCs w:val="24"/>
          <w:lang w:val="uz-Cyrl-UZ"/>
        </w:rPr>
        <w:t>satiričnim reklamama nije prekrš</w:t>
      </w:r>
      <w:r w:rsidR="00AE2C8C" w:rsidRPr="001C0271">
        <w:rPr>
          <w:rFonts w:asciiTheme="majorHAnsi" w:hAnsiTheme="majorHAnsi"/>
          <w:sz w:val="24"/>
          <w:szCs w:val="24"/>
          <w:lang w:val="uz-Cyrl-UZ"/>
        </w:rPr>
        <w:t>eno pravo na slobodu izražavanja</w:t>
      </w:r>
      <w:r w:rsidR="006A066A">
        <w:rPr>
          <w:rFonts w:asciiTheme="majorHAnsi" w:hAnsiTheme="majorHAnsi"/>
          <w:sz w:val="24"/>
          <w:szCs w:val="24"/>
          <w:lang w:val="uz-Cyrl-UZ"/>
        </w:rPr>
        <w:t>;</w:t>
      </w:r>
    </w:p>
    <w:p w:rsidR="006A066A" w:rsidRPr="006A066A" w:rsidRDefault="006A066A" w:rsidP="001479EE">
      <w:pPr>
        <w:pStyle w:val="ListParagraph"/>
        <w:numPr>
          <w:ilvl w:val="0"/>
          <w:numId w:val="10"/>
        </w:numPr>
        <w:jc w:val="both"/>
        <w:rPr>
          <w:rFonts w:asciiTheme="majorHAnsi" w:hAnsiTheme="majorHAnsi"/>
          <w:sz w:val="24"/>
          <w:szCs w:val="24"/>
          <w:lang w:val="uz-Cyrl-UZ"/>
        </w:rPr>
      </w:pPr>
      <w:r w:rsidRPr="006A066A">
        <w:rPr>
          <w:rFonts w:asciiTheme="majorHAnsi" w:hAnsiTheme="majorHAnsi"/>
          <w:b/>
          <w:sz w:val="24"/>
          <w:szCs w:val="24"/>
          <w:lang w:val="uz-Cyrl-UZ"/>
        </w:rPr>
        <w:t>Haldimann i drugi protiv Švajcarske</w:t>
      </w:r>
      <w:r w:rsidRPr="006A066A">
        <w:rPr>
          <w:rFonts w:asciiTheme="majorHAnsi" w:hAnsiTheme="majorHAnsi"/>
          <w:sz w:val="24"/>
          <w:szCs w:val="24"/>
          <w:lang w:val="uz-Cyrl-UZ"/>
        </w:rPr>
        <w:t xml:space="preserve"> (predstavka br. 21830/09), 24. februar 2015: upotreba skrivenih kamera u potrošačkom novinarstvu </w:t>
      </w:r>
      <w:r w:rsidR="00665A91">
        <w:rPr>
          <w:rFonts w:asciiTheme="majorHAnsi" w:hAnsiTheme="majorHAnsi"/>
          <w:sz w:val="24"/>
          <w:szCs w:val="24"/>
          <w:lang w:val="uz-Cyrl-UZ"/>
        </w:rPr>
        <w:t xml:space="preserve">bila </w:t>
      </w:r>
      <w:r w:rsidRPr="006A066A">
        <w:rPr>
          <w:rFonts w:asciiTheme="majorHAnsi" w:hAnsiTheme="majorHAnsi"/>
          <w:sz w:val="24"/>
          <w:szCs w:val="24"/>
          <w:lang w:val="uz-Cyrl-UZ"/>
        </w:rPr>
        <w:t>je opravdan</w:t>
      </w:r>
      <w:r w:rsidR="00665A91">
        <w:rPr>
          <w:rFonts w:asciiTheme="majorHAnsi" w:hAnsiTheme="majorHAnsi"/>
          <w:sz w:val="24"/>
          <w:szCs w:val="24"/>
          <w:lang w:val="uz-Cyrl-UZ"/>
        </w:rPr>
        <w:t>a</w:t>
      </w:r>
      <w:r>
        <w:rPr>
          <w:rFonts w:asciiTheme="majorHAnsi" w:hAnsiTheme="majorHAnsi"/>
          <w:sz w:val="24"/>
          <w:szCs w:val="24"/>
          <w:lang w:val="uz-Cyrl-UZ"/>
        </w:rPr>
        <w:t>.</w:t>
      </w:r>
    </w:p>
    <w:p w:rsidR="00662020" w:rsidRPr="001C0271" w:rsidRDefault="00662020" w:rsidP="001479EE">
      <w:pPr>
        <w:tabs>
          <w:tab w:val="left" w:pos="7295"/>
        </w:tabs>
        <w:jc w:val="both"/>
        <w:rPr>
          <w:rFonts w:asciiTheme="majorHAnsi" w:eastAsia="Calibri" w:hAnsiTheme="majorHAnsi" w:cs="Times New Roman"/>
          <w:sz w:val="24"/>
          <w:szCs w:val="24"/>
          <w:lang w:val="uz-Cyrl-UZ"/>
        </w:rPr>
      </w:pPr>
      <w:r w:rsidRPr="001C0271">
        <w:rPr>
          <w:rFonts w:asciiTheme="majorHAnsi" w:eastAsia="Calibri" w:hAnsiTheme="majorHAnsi" w:cs="Times New Roman"/>
          <w:sz w:val="24"/>
          <w:szCs w:val="24"/>
          <w:lang w:val="uz-Cyrl-UZ"/>
        </w:rPr>
        <w:t>Navedene presude ticale su se sljedećeg:</w:t>
      </w:r>
    </w:p>
    <w:p w:rsidR="00DC4DDA" w:rsidRPr="001C0271" w:rsidRDefault="00DC4DDA" w:rsidP="00DC4DDA">
      <w:pPr>
        <w:pStyle w:val="ListParagraph"/>
        <w:numPr>
          <w:ilvl w:val="0"/>
          <w:numId w:val="11"/>
        </w:numPr>
        <w:jc w:val="both"/>
        <w:rPr>
          <w:rFonts w:asciiTheme="majorHAnsi" w:hAnsiTheme="majorHAnsi"/>
          <w:sz w:val="24"/>
          <w:szCs w:val="24"/>
          <w:lang w:val="uz-Cyrl-UZ"/>
        </w:rPr>
      </w:pPr>
      <w:r w:rsidRPr="001C0271">
        <w:rPr>
          <w:rFonts w:asciiTheme="majorHAnsi" w:hAnsiTheme="majorHAnsi"/>
          <w:b/>
          <w:sz w:val="24"/>
          <w:szCs w:val="24"/>
          <w:lang w:val="uz-Cyrl-UZ"/>
        </w:rPr>
        <w:t>Bayar i Gürbüz protiv Turske (br. 2)</w:t>
      </w:r>
      <w:r w:rsidRPr="001C0271">
        <w:rPr>
          <w:rFonts w:asciiTheme="majorHAnsi" w:hAnsiTheme="majorHAnsi"/>
          <w:sz w:val="24"/>
          <w:szCs w:val="24"/>
          <w:lang w:val="uz-Cyrl-UZ"/>
        </w:rPr>
        <w:t xml:space="preserve"> (predstavka br. 33037/07), 3. februar 2015: </w:t>
      </w:r>
      <w:r w:rsidRPr="001C0271">
        <w:rPr>
          <w:rFonts w:asciiTheme="majorHAnsi" w:hAnsiTheme="majorHAnsi"/>
          <w:sz w:val="24"/>
          <w:szCs w:val="24"/>
          <w:highlight w:val="yellow"/>
          <w:lang w:val="uz-Cyrl-UZ"/>
        </w:rPr>
        <w:t>osudom zbog prenošenja novogodišnjeg obraćanja predstavnika PKK je prekršeno pravo na slobodu izražavanja</w:t>
      </w:r>
    </w:p>
    <w:p w:rsidR="00C53284" w:rsidRPr="001C0271" w:rsidRDefault="00665A91" w:rsidP="00C9380C">
      <w:pPr>
        <w:tabs>
          <w:tab w:val="left" w:pos="7295"/>
        </w:tabs>
        <w:jc w:val="both"/>
        <w:rPr>
          <w:rFonts w:asciiTheme="majorHAnsi" w:eastAsia="Calibri" w:hAnsiTheme="majorHAnsi" w:cs="Times New Roman"/>
          <w:sz w:val="24"/>
          <w:szCs w:val="24"/>
          <w:lang w:val="uz-Cyrl-UZ"/>
        </w:rPr>
      </w:pPr>
      <w:r>
        <w:rPr>
          <w:rFonts w:asciiTheme="majorHAnsi" w:eastAsia="Calibri" w:hAnsiTheme="majorHAnsi" w:cs="Times New Roman"/>
          <w:sz w:val="24"/>
          <w:szCs w:val="24"/>
          <w:lang w:val="uz-Cyrl-UZ"/>
        </w:rPr>
        <w:t>S</w:t>
      </w:r>
      <w:r w:rsidR="00C53284" w:rsidRPr="001C0271">
        <w:rPr>
          <w:rFonts w:asciiTheme="majorHAnsi" w:eastAsia="Calibri" w:hAnsiTheme="majorHAnsi" w:cs="Times New Roman"/>
          <w:sz w:val="24"/>
          <w:szCs w:val="24"/>
          <w:lang w:val="uz-Cyrl-UZ"/>
        </w:rPr>
        <w:t xml:space="preserve">lučaj se ticao </w:t>
      </w:r>
      <w:r w:rsidR="00C9380C" w:rsidRPr="001C0271">
        <w:rPr>
          <w:rFonts w:asciiTheme="majorHAnsi" w:eastAsia="Calibri" w:hAnsiTheme="majorHAnsi" w:cs="Times New Roman"/>
          <w:sz w:val="24"/>
          <w:szCs w:val="24"/>
          <w:lang w:val="uz-Cyrl-UZ"/>
        </w:rPr>
        <w:t>vlasnik</w:t>
      </w:r>
      <w:r w:rsidR="00C53284" w:rsidRPr="001C0271">
        <w:rPr>
          <w:rFonts w:asciiTheme="majorHAnsi" w:eastAsia="Calibri" w:hAnsiTheme="majorHAnsi" w:cs="Times New Roman"/>
          <w:sz w:val="24"/>
          <w:szCs w:val="24"/>
          <w:lang w:val="uz-Cyrl-UZ"/>
        </w:rPr>
        <w:t>a</w:t>
      </w:r>
      <w:r w:rsidR="00C9380C" w:rsidRPr="001C0271">
        <w:rPr>
          <w:rFonts w:asciiTheme="majorHAnsi" w:eastAsia="Calibri" w:hAnsiTheme="majorHAnsi" w:cs="Times New Roman"/>
          <w:sz w:val="24"/>
          <w:szCs w:val="24"/>
          <w:lang w:val="uz-Cyrl-UZ"/>
        </w:rPr>
        <w:t xml:space="preserve"> i urednik</w:t>
      </w:r>
      <w:r w:rsidR="00DA4400" w:rsidRPr="001C0271">
        <w:rPr>
          <w:rFonts w:asciiTheme="majorHAnsi" w:eastAsia="Calibri" w:hAnsiTheme="majorHAnsi" w:cs="Times New Roman"/>
          <w:sz w:val="24"/>
          <w:szCs w:val="24"/>
          <w:lang w:val="uz-Cyrl-UZ"/>
        </w:rPr>
        <w:t>a</w:t>
      </w:r>
      <w:r w:rsidR="00C9380C" w:rsidRPr="001C0271">
        <w:rPr>
          <w:rFonts w:asciiTheme="majorHAnsi" w:eastAsia="Calibri" w:hAnsiTheme="majorHAnsi" w:cs="Times New Roman"/>
          <w:sz w:val="24"/>
          <w:szCs w:val="24"/>
          <w:lang w:val="uz-Cyrl-UZ"/>
        </w:rPr>
        <w:t xml:space="preserve"> turskog lista </w:t>
      </w:r>
      <w:r w:rsidR="003D241D" w:rsidRPr="001C0271">
        <w:rPr>
          <w:rFonts w:asciiTheme="majorHAnsi" w:eastAsia="Calibri" w:hAnsiTheme="majorHAnsi" w:cs="Times New Roman"/>
          <w:sz w:val="24"/>
          <w:szCs w:val="24"/>
          <w:lang w:val="uz-Cyrl-UZ"/>
        </w:rPr>
        <w:t xml:space="preserve">koji su </w:t>
      </w:r>
      <w:r w:rsidR="00EB2B07" w:rsidRPr="001C0271">
        <w:rPr>
          <w:rFonts w:asciiTheme="majorHAnsi" w:eastAsia="Calibri" w:hAnsiTheme="majorHAnsi" w:cs="Times New Roman"/>
          <w:sz w:val="24"/>
          <w:szCs w:val="24"/>
          <w:lang w:val="uz-Cyrl-UZ"/>
        </w:rPr>
        <w:t>kažnjen</w:t>
      </w:r>
      <w:r w:rsidR="003D241D" w:rsidRPr="001C0271">
        <w:rPr>
          <w:rFonts w:asciiTheme="majorHAnsi" w:eastAsia="Calibri" w:hAnsiTheme="majorHAnsi" w:cs="Times New Roman"/>
          <w:sz w:val="24"/>
          <w:szCs w:val="24"/>
          <w:lang w:val="uz-Cyrl-UZ"/>
        </w:rPr>
        <w:t>i</w:t>
      </w:r>
      <w:r w:rsidR="00EB2B07" w:rsidRPr="001C0271">
        <w:rPr>
          <w:rFonts w:asciiTheme="majorHAnsi" w:eastAsia="Calibri" w:hAnsiTheme="majorHAnsi" w:cs="Times New Roman"/>
          <w:sz w:val="24"/>
          <w:szCs w:val="24"/>
          <w:lang w:val="uz-Cyrl-UZ"/>
        </w:rPr>
        <w:t xml:space="preserve"> zbog </w:t>
      </w:r>
      <w:r w:rsidR="00C9380C" w:rsidRPr="001C0271">
        <w:rPr>
          <w:rFonts w:asciiTheme="majorHAnsi" w:eastAsia="Calibri" w:hAnsiTheme="majorHAnsi" w:cs="Times New Roman"/>
          <w:sz w:val="24"/>
          <w:szCs w:val="24"/>
          <w:lang w:val="uz-Cyrl-UZ"/>
        </w:rPr>
        <w:t>člank</w:t>
      </w:r>
      <w:r w:rsidR="00EB2B07" w:rsidRPr="001C0271">
        <w:rPr>
          <w:rFonts w:asciiTheme="majorHAnsi" w:eastAsia="Calibri" w:hAnsiTheme="majorHAnsi" w:cs="Times New Roman"/>
          <w:sz w:val="24"/>
          <w:szCs w:val="24"/>
          <w:lang w:val="uz-Cyrl-UZ"/>
        </w:rPr>
        <w:t>a u kom</w:t>
      </w:r>
      <w:r>
        <w:rPr>
          <w:rFonts w:asciiTheme="majorHAnsi" w:eastAsia="Calibri" w:hAnsiTheme="majorHAnsi" w:cs="Times New Roman"/>
          <w:sz w:val="24"/>
          <w:szCs w:val="24"/>
          <w:lang w:val="uz-Cyrl-UZ"/>
        </w:rPr>
        <w:t>e</w:t>
      </w:r>
      <w:r w:rsidR="00EB2B07" w:rsidRPr="001C0271">
        <w:rPr>
          <w:rFonts w:asciiTheme="majorHAnsi" w:eastAsia="Calibri" w:hAnsiTheme="majorHAnsi" w:cs="Times New Roman"/>
          <w:sz w:val="24"/>
          <w:szCs w:val="24"/>
          <w:lang w:val="uz-Cyrl-UZ"/>
        </w:rPr>
        <w:t xml:space="preserve"> s</w:t>
      </w:r>
      <w:r w:rsidR="003D241D" w:rsidRPr="001C0271">
        <w:rPr>
          <w:rFonts w:asciiTheme="majorHAnsi" w:eastAsia="Calibri" w:hAnsiTheme="majorHAnsi" w:cs="Times New Roman"/>
          <w:sz w:val="24"/>
          <w:szCs w:val="24"/>
          <w:lang w:val="uz-Cyrl-UZ"/>
        </w:rPr>
        <w:t xml:space="preserve">u </w:t>
      </w:r>
      <w:r w:rsidR="00EB2B07" w:rsidRPr="001C0271">
        <w:rPr>
          <w:rFonts w:asciiTheme="majorHAnsi" w:eastAsia="Calibri" w:hAnsiTheme="majorHAnsi" w:cs="Times New Roman"/>
          <w:sz w:val="24"/>
          <w:szCs w:val="24"/>
          <w:lang w:val="uz-Cyrl-UZ"/>
        </w:rPr>
        <w:t>citirali predstavnika Radničke partije</w:t>
      </w:r>
      <w:r w:rsidR="001B5B1F" w:rsidRPr="001C0271">
        <w:rPr>
          <w:rFonts w:asciiTheme="majorHAnsi" w:eastAsia="Calibri" w:hAnsiTheme="majorHAnsi" w:cs="Times New Roman"/>
          <w:sz w:val="24"/>
          <w:szCs w:val="24"/>
          <w:lang w:val="uz-Cyrl-UZ"/>
        </w:rPr>
        <w:t xml:space="preserve"> Kurdistana (</w:t>
      </w:r>
      <w:r w:rsidR="00C9380C" w:rsidRPr="001C0271">
        <w:rPr>
          <w:rFonts w:asciiTheme="majorHAnsi" w:eastAsia="Calibri" w:hAnsiTheme="majorHAnsi" w:cs="Times New Roman"/>
          <w:sz w:val="24"/>
          <w:szCs w:val="24"/>
          <w:lang w:val="uz-Cyrl-UZ"/>
        </w:rPr>
        <w:t>PKK</w:t>
      </w:r>
      <w:r w:rsidR="001B5B1F" w:rsidRPr="001C0271">
        <w:rPr>
          <w:rFonts w:asciiTheme="majorHAnsi" w:eastAsia="Calibri" w:hAnsiTheme="majorHAnsi" w:cs="Times New Roman"/>
          <w:sz w:val="24"/>
          <w:szCs w:val="24"/>
          <w:lang w:val="uz-Cyrl-UZ"/>
        </w:rPr>
        <w:t>)</w:t>
      </w:r>
      <w:r w:rsidR="00C9380C" w:rsidRPr="001C0271">
        <w:rPr>
          <w:rFonts w:asciiTheme="majorHAnsi" w:eastAsia="Calibri" w:hAnsiTheme="majorHAnsi" w:cs="Times New Roman"/>
          <w:sz w:val="24"/>
          <w:szCs w:val="24"/>
          <w:lang w:val="uz-Cyrl-UZ"/>
        </w:rPr>
        <w:t xml:space="preserve">, koja se u Turskoj smatra </w:t>
      </w:r>
      <w:r w:rsidR="00EB2B07" w:rsidRPr="001C0271">
        <w:rPr>
          <w:rFonts w:asciiTheme="majorHAnsi" w:eastAsia="Calibri" w:hAnsiTheme="majorHAnsi" w:cs="Times New Roman"/>
          <w:sz w:val="24"/>
          <w:szCs w:val="24"/>
          <w:lang w:val="uz-Cyrl-UZ"/>
        </w:rPr>
        <w:t xml:space="preserve">terorističkom organizacijom. </w:t>
      </w:r>
      <w:r w:rsidR="00DA4400" w:rsidRPr="001C0271">
        <w:rPr>
          <w:rFonts w:asciiTheme="majorHAnsi" w:eastAsia="Calibri" w:hAnsiTheme="majorHAnsi" w:cs="Times New Roman"/>
          <w:sz w:val="24"/>
          <w:szCs w:val="24"/>
          <w:lang w:val="uz-Cyrl-UZ"/>
        </w:rPr>
        <w:t>Time su</w:t>
      </w:r>
      <w:r w:rsidR="00C53284" w:rsidRPr="001C0271">
        <w:rPr>
          <w:rFonts w:asciiTheme="majorHAnsi" w:eastAsia="Calibri" w:hAnsiTheme="majorHAnsi" w:cs="Times New Roman"/>
          <w:sz w:val="24"/>
          <w:szCs w:val="24"/>
          <w:lang w:val="uz-Cyrl-UZ"/>
        </w:rPr>
        <w:t xml:space="preserve"> </w:t>
      </w:r>
      <w:r w:rsidR="00DA4400" w:rsidRPr="001C0271">
        <w:rPr>
          <w:rFonts w:asciiTheme="majorHAnsi" w:eastAsia="Calibri" w:hAnsiTheme="majorHAnsi" w:cs="Times New Roman"/>
          <w:sz w:val="24"/>
          <w:szCs w:val="24"/>
          <w:lang w:val="uz-Cyrl-UZ"/>
        </w:rPr>
        <w:t>prekršili</w:t>
      </w:r>
      <w:r w:rsidR="00C53284" w:rsidRPr="001C0271">
        <w:rPr>
          <w:rFonts w:asciiTheme="majorHAnsi" w:eastAsia="Calibri" w:hAnsiTheme="majorHAnsi" w:cs="Times New Roman"/>
          <w:sz w:val="24"/>
          <w:szCs w:val="24"/>
          <w:lang w:val="uz-Cyrl-UZ"/>
        </w:rPr>
        <w:t xml:space="preserve"> zakon kojim se zabranjuje objavljivanje izjava terorističkih organizacija. Žalili su se i kazna im je naznatno smanjena, na oko 230 €</w:t>
      </w:r>
      <w:r>
        <w:rPr>
          <w:rFonts w:asciiTheme="majorHAnsi" w:eastAsia="Calibri" w:hAnsiTheme="majorHAnsi" w:cs="Times New Roman"/>
          <w:sz w:val="24"/>
          <w:szCs w:val="24"/>
          <w:lang w:val="uz-Cyrl-UZ"/>
        </w:rPr>
        <w:t>, ali je dalja</w:t>
      </w:r>
      <w:r w:rsidR="00DC4DDA" w:rsidRPr="001C0271">
        <w:rPr>
          <w:rFonts w:asciiTheme="majorHAnsi" w:eastAsia="Calibri" w:hAnsiTheme="majorHAnsi" w:cs="Times New Roman"/>
          <w:sz w:val="24"/>
          <w:szCs w:val="24"/>
          <w:lang w:val="uz-Cyrl-UZ"/>
        </w:rPr>
        <w:t xml:space="preserve"> žalba odbijena jer je visina izrečene novčane kazne bila ispod </w:t>
      </w:r>
      <w:r>
        <w:rPr>
          <w:rFonts w:asciiTheme="majorHAnsi" w:eastAsia="Calibri" w:hAnsiTheme="majorHAnsi" w:cs="Times New Roman"/>
          <w:sz w:val="24"/>
          <w:szCs w:val="24"/>
          <w:lang w:val="uz-Cyrl-UZ"/>
        </w:rPr>
        <w:t xml:space="preserve">određenog </w:t>
      </w:r>
      <w:r w:rsidR="00DC4DDA" w:rsidRPr="001C0271">
        <w:rPr>
          <w:rFonts w:asciiTheme="majorHAnsi" w:eastAsia="Calibri" w:hAnsiTheme="majorHAnsi" w:cs="Times New Roman"/>
          <w:sz w:val="24"/>
          <w:szCs w:val="24"/>
          <w:lang w:val="uz-Cyrl-UZ"/>
        </w:rPr>
        <w:t>iznosa.</w:t>
      </w:r>
    </w:p>
    <w:p w:rsidR="000830F1" w:rsidRPr="001C0271" w:rsidRDefault="00C9380C" w:rsidP="00C9380C">
      <w:pPr>
        <w:tabs>
          <w:tab w:val="left" w:pos="7295"/>
        </w:tabs>
        <w:jc w:val="both"/>
        <w:rPr>
          <w:rFonts w:asciiTheme="majorHAnsi" w:eastAsia="Calibri" w:hAnsiTheme="majorHAnsi" w:cs="Times New Roman"/>
          <w:sz w:val="24"/>
          <w:szCs w:val="24"/>
          <w:lang w:val="uz-Cyrl-UZ"/>
        </w:rPr>
      </w:pPr>
      <w:r w:rsidRPr="001C0271">
        <w:rPr>
          <w:rFonts w:asciiTheme="majorHAnsi" w:eastAsia="Calibri" w:hAnsiTheme="majorHAnsi" w:cs="Times New Roman"/>
          <w:sz w:val="24"/>
          <w:szCs w:val="24"/>
          <w:lang w:val="uz-Cyrl-UZ"/>
        </w:rPr>
        <w:lastRenderedPageBreak/>
        <w:t xml:space="preserve">Evropski sud za ljudska prava je </w:t>
      </w:r>
      <w:r w:rsidR="00DC4DDA" w:rsidRPr="001C0271">
        <w:rPr>
          <w:rFonts w:asciiTheme="majorHAnsi" w:eastAsia="Calibri" w:hAnsiTheme="majorHAnsi" w:cs="Times New Roman"/>
          <w:sz w:val="24"/>
          <w:szCs w:val="24"/>
          <w:lang w:val="uz-Cyrl-UZ"/>
        </w:rPr>
        <w:t xml:space="preserve">uzeo u obzir da je predstavnik PKK </w:t>
      </w:r>
      <w:r w:rsidR="007A6AFF" w:rsidRPr="001C0271">
        <w:rPr>
          <w:rFonts w:asciiTheme="majorHAnsi" w:eastAsia="Calibri" w:hAnsiTheme="majorHAnsi" w:cs="Times New Roman"/>
          <w:sz w:val="24"/>
          <w:szCs w:val="24"/>
          <w:lang w:val="uz-Cyrl-UZ"/>
        </w:rPr>
        <w:t xml:space="preserve">u svojoj izjavi </w:t>
      </w:r>
      <w:r w:rsidR="00DC4DDA" w:rsidRPr="001C0271">
        <w:rPr>
          <w:rFonts w:asciiTheme="majorHAnsi" w:eastAsia="Calibri" w:hAnsiTheme="majorHAnsi" w:cs="Times New Roman"/>
          <w:sz w:val="24"/>
          <w:szCs w:val="24"/>
          <w:lang w:val="uz-Cyrl-UZ"/>
        </w:rPr>
        <w:t>samo zahvalio svima koji su došli na žurku povodom proslave tradicionalne kurdske/ iranske Nove godine (Newroz). Imajući u vidu kontekst u kom</w:t>
      </w:r>
      <w:r w:rsidR="00665A91">
        <w:rPr>
          <w:rFonts w:asciiTheme="majorHAnsi" w:eastAsia="Calibri" w:hAnsiTheme="majorHAnsi" w:cs="Times New Roman"/>
          <w:sz w:val="24"/>
          <w:szCs w:val="24"/>
          <w:lang w:val="uz-Cyrl-UZ"/>
        </w:rPr>
        <w:t>e</w:t>
      </w:r>
      <w:r w:rsidR="00DC4DDA" w:rsidRPr="001C0271">
        <w:rPr>
          <w:rFonts w:asciiTheme="majorHAnsi" w:eastAsia="Calibri" w:hAnsiTheme="majorHAnsi" w:cs="Times New Roman"/>
          <w:sz w:val="24"/>
          <w:szCs w:val="24"/>
          <w:lang w:val="uz-Cyrl-UZ"/>
        </w:rPr>
        <w:t xml:space="preserve"> je ova izjava iznesena, Sud je našao</w:t>
      </w:r>
      <w:r w:rsidR="00C3479D" w:rsidRPr="001C0271">
        <w:rPr>
          <w:rFonts w:asciiTheme="majorHAnsi" w:eastAsia="Calibri" w:hAnsiTheme="majorHAnsi" w:cs="Times New Roman"/>
          <w:sz w:val="24"/>
          <w:szCs w:val="24"/>
          <w:lang w:val="uz-Cyrl-UZ"/>
        </w:rPr>
        <w:t xml:space="preserve"> </w:t>
      </w:r>
      <w:r w:rsidR="00DC4DDA" w:rsidRPr="001C0271">
        <w:rPr>
          <w:rFonts w:asciiTheme="majorHAnsi" w:eastAsia="Calibri" w:hAnsiTheme="majorHAnsi" w:cs="Times New Roman"/>
          <w:sz w:val="24"/>
          <w:szCs w:val="24"/>
          <w:lang w:val="uz-Cyrl-UZ"/>
        </w:rPr>
        <w:t xml:space="preserve">da nije bilo naznaka da ona podstiče </w:t>
      </w:r>
      <w:r w:rsidR="001B5B1F" w:rsidRPr="001C0271">
        <w:rPr>
          <w:rFonts w:asciiTheme="majorHAnsi" w:eastAsia="Calibri" w:hAnsiTheme="majorHAnsi" w:cs="Times New Roman"/>
          <w:sz w:val="24"/>
          <w:szCs w:val="24"/>
          <w:lang w:val="uz-Cyrl-UZ"/>
        </w:rPr>
        <w:t xml:space="preserve">na </w:t>
      </w:r>
      <w:r w:rsidR="00DC4DDA" w:rsidRPr="001C0271">
        <w:rPr>
          <w:rFonts w:asciiTheme="majorHAnsi" w:eastAsia="Calibri" w:hAnsiTheme="majorHAnsi" w:cs="Times New Roman"/>
          <w:sz w:val="24"/>
          <w:szCs w:val="24"/>
          <w:lang w:val="uz-Cyrl-UZ"/>
        </w:rPr>
        <w:t>terorizam, nasilje ili mržnju. Osuda je stoga predstavljala kršenje prava na slobodu izražavanja. Osim toga, o</w:t>
      </w:r>
      <w:r w:rsidR="00665A91">
        <w:rPr>
          <w:rFonts w:asciiTheme="majorHAnsi" w:eastAsia="Calibri" w:hAnsiTheme="majorHAnsi" w:cs="Times New Roman"/>
          <w:sz w:val="24"/>
          <w:szCs w:val="24"/>
          <w:lang w:val="uz-Cyrl-UZ"/>
        </w:rPr>
        <w:t>ne</w:t>
      </w:r>
      <w:r w:rsidR="00DC4DDA" w:rsidRPr="001C0271">
        <w:rPr>
          <w:rFonts w:asciiTheme="majorHAnsi" w:eastAsia="Calibri" w:hAnsiTheme="majorHAnsi" w:cs="Times New Roman"/>
          <w:sz w:val="24"/>
          <w:szCs w:val="24"/>
          <w:lang w:val="uz-Cyrl-UZ"/>
        </w:rPr>
        <w:t>mogućavanje prava na žalbu je predstavljalo kršenje prava na pravično suđenje.</w:t>
      </w:r>
    </w:p>
    <w:p w:rsidR="004731E4" w:rsidRPr="001C0271" w:rsidRDefault="004731E4" w:rsidP="004731E4">
      <w:pPr>
        <w:pStyle w:val="ListParagraph"/>
        <w:numPr>
          <w:ilvl w:val="0"/>
          <w:numId w:val="11"/>
        </w:numPr>
        <w:jc w:val="both"/>
        <w:rPr>
          <w:rFonts w:asciiTheme="majorHAnsi" w:hAnsiTheme="majorHAnsi"/>
          <w:sz w:val="24"/>
          <w:szCs w:val="24"/>
          <w:lang w:val="uz-Cyrl-UZ"/>
        </w:rPr>
      </w:pPr>
      <w:r w:rsidRPr="001C0271">
        <w:rPr>
          <w:rFonts w:asciiTheme="majorHAnsi" w:hAnsiTheme="majorHAnsi"/>
          <w:b/>
          <w:sz w:val="24"/>
          <w:szCs w:val="24"/>
          <w:lang w:val="uz-Cyrl-UZ"/>
        </w:rPr>
        <w:t>Yoslun protiv Turske</w:t>
      </w:r>
      <w:r w:rsidRPr="001C0271">
        <w:rPr>
          <w:rFonts w:asciiTheme="majorHAnsi" w:hAnsiTheme="majorHAnsi"/>
          <w:sz w:val="24"/>
          <w:szCs w:val="24"/>
          <w:lang w:val="uz-Cyrl-UZ"/>
        </w:rPr>
        <w:t xml:space="preserve"> (predstavka br. 2336/05), 10 februar 2015: </w:t>
      </w:r>
      <w:r w:rsidRPr="001C0271">
        <w:rPr>
          <w:rFonts w:asciiTheme="majorHAnsi" w:hAnsiTheme="majorHAnsi"/>
          <w:sz w:val="24"/>
          <w:szCs w:val="24"/>
          <w:highlight w:val="yellow"/>
          <w:lang w:val="uz-Cyrl-UZ"/>
        </w:rPr>
        <w:t>novčana kazna za „neovlašćeno“ političko komentarisanje je prekršila pravo na slobodu izražavanja</w:t>
      </w:r>
    </w:p>
    <w:p w:rsidR="00DC4DDA" w:rsidRPr="001C0271" w:rsidRDefault="004731E4" w:rsidP="00C9380C">
      <w:pPr>
        <w:tabs>
          <w:tab w:val="left" w:pos="7295"/>
        </w:tabs>
        <w:jc w:val="both"/>
        <w:rPr>
          <w:rFonts w:asciiTheme="majorHAnsi" w:eastAsia="Calibri" w:hAnsiTheme="majorHAnsi" w:cs="Times New Roman"/>
          <w:sz w:val="24"/>
          <w:szCs w:val="24"/>
          <w:lang w:val="uz-Cyrl-UZ"/>
        </w:rPr>
      </w:pPr>
      <w:r w:rsidRPr="001C0271">
        <w:rPr>
          <w:rFonts w:asciiTheme="majorHAnsi" w:eastAsia="Calibri" w:hAnsiTheme="majorHAnsi" w:cs="Times New Roman"/>
          <w:sz w:val="24"/>
          <w:szCs w:val="24"/>
          <w:lang w:val="uz-Cyrl-UZ"/>
        </w:rPr>
        <w:t>Slučaj se ticao pjevača koji je novčano kažnjen zbog govora koji je održao tokom koncerta. On je kritikovao tursku vladu i rekao da moderna Turska nije ni slobodna ni demokratska</w:t>
      </w:r>
      <w:r w:rsidR="007A6AFF" w:rsidRPr="001C0271">
        <w:rPr>
          <w:rFonts w:asciiTheme="majorHAnsi" w:eastAsia="Calibri" w:hAnsiTheme="majorHAnsi" w:cs="Times New Roman"/>
          <w:sz w:val="24"/>
          <w:szCs w:val="24"/>
          <w:lang w:val="uz-Cyrl-UZ"/>
        </w:rPr>
        <w:t xml:space="preserve"> država</w:t>
      </w:r>
      <w:r w:rsidRPr="001C0271">
        <w:rPr>
          <w:rFonts w:asciiTheme="majorHAnsi" w:eastAsia="Calibri" w:hAnsiTheme="majorHAnsi" w:cs="Times New Roman"/>
          <w:sz w:val="24"/>
          <w:szCs w:val="24"/>
          <w:lang w:val="uz-Cyrl-UZ"/>
        </w:rPr>
        <w:t>. Takođe je iznosio komentare koji su podržavali kurdske nacionalističke pokrete. Ka</w:t>
      </w:r>
      <w:r w:rsidR="00665A91">
        <w:rPr>
          <w:rFonts w:asciiTheme="majorHAnsi" w:eastAsia="Calibri" w:hAnsiTheme="majorHAnsi" w:cs="Times New Roman"/>
          <w:sz w:val="24"/>
          <w:szCs w:val="24"/>
          <w:lang w:val="uz-Cyrl-UZ"/>
        </w:rPr>
        <w:t>z</w:t>
      </w:r>
      <w:r w:rsidRPr="001C0271">
        <w:rPr>
          <w:rFonts w:asciiTheme="majorHAnsi" w:eastAsia="Calibri" w:hAnsiTheme="majorHAnsi" w:cs="Times New Roman"/>
          <w:sz w:val="24"/>
          <w:szCs w:val="24"/>
          <w:lang w:val="uz-Cyrl-UZ"/>
        </w:rPr>
        <w:t xml:space="preserve">na je izrečena po osnovu toga što </w:t>
      </w:r>
      <w:r w:rsidR="00665A91">
        <w:rPr>
          <w:rFonts w:asciiTheme="majorHAnsi" w:eastAsia="Calibri" w:hAnsiTheme="majorHAnsi" w:cs="Times New Roman"/>
          <w:sz w:val="24"/>
          <w:szCs w:val="24"/>
          <w:lang w:val="uz-Cyrl-UZ"/>
        </w:rPr>
        <w:t xml:space="preserve">je </w:t>
      </w:r>
      <w:r w:rsidRPr="001C0271">
        <w:rPr>
          <w:rFonts w:asciiTheme="majorHAnsi" w:eastAsia="Calibri" w:hAnsiTheme="majorHAnsi" w:cs="Times New Roman"/>
          <w:sz w:val="24"/>
          <w:szCs w:val="24"/>
          <w:lang w:val="uz-Cyrl-UZ"/>
        </w:rPr>
        <w:t xml:space="preserve">dozvola koju je opština </w:t>
      </w:r>
      <w:r w:rsidR="001140CB">
        <w:rPr>
          <w:rFonts w:asciiTheme="majorHAnsi" w:eastAsia="Calibri" w:hAnsiTheme="majorHAnsi" w:cs="Times New Roman"/>
          <w:sz w:val="24"/>
          <w:szCs w:val="24"/>
          <w:lang w:val="uz-Cyrl-UZ"/>
        </w:rPr>
        <w:t>iz</w:t>
      </w:r>
      <w:r w:rsidRPr="001C0271">
        <w:rPr>
          <w:rFonts w:asciiTheme="majorHAnsi" w:eastAsia="Calibri" w:hAnsiTheme="majorHAnsi" w:cs="Times New Roman"/>
          <w:sz w:val="24"/>
          <w:szCs w:val="24"/>
          <w:lang w:val="uz-Cyrl-UZ"/>
        </w:rPr>
        <w:t xml:space="preserve">dala za održavanje koncerta isključivala mogućnost političkih govora. On je uložio žalbu na novčanu kaznu i zahtijevao </w:t>
      </w:r>
      <w:r w:rsidR="00AA72C1" w:rsidRPr="001C0271">
        <w:rPr>
          <w:rFonts w:asciiTheme="majorHAnsi" w:eastAsia="Calibri" w:hAnsiTheme="majorHAnsi" w:cs="Times New Roman"/>
          <w:sz w:val="24"/>
          <w:szCs w:val="24"/>
          <w:lang w:val="uz-Cyrl-UZ"/>
        </w:rPr>
        <w:t>ročište</w:t>
      </w:r>
      <w:r w:rsidRPr="001C0271">
        <w:rPr>
          <w:rFonts w:asciiTheme="majorHAnsi" w:eastAsia="Calibri" w:hAnsiTheme="majorHAnsi" w:cs="Times New Roman"/>
          <w:sz w:val="24"/>
          <w:szCs w:val="24"/>
          <w:lang w:val="uz-Cyrl-UZ"/>
        </w:rPr>
        <w:t xml:space="preserve"> na kom bi raspravljao o svom slučaju. </w:t>
      </w:r>
      <w:r w:rsidR="00EB7F76" w:rsidRPr="001C0271">
        <w:rPr>
          <w:rFonts w:asciiTheme="majorHAnsi" w:eastAsia="Calibri" w:hAnsiTheme="majorHAnsi" w:cs="Times New Roman"/>
          <w:sz w:val="24"/>
          <w:szCs w:val="24"/>
          <w:lang w:val="uz-Cyrl-UZ"/>
        </w:rPr>
        <w:t>Njegova žalba je odbačena</w:t>
      </w:r>
      <w:r w:rsidR="00665A91">
        <w:rPr>
          <w:rFonts w:asciiTheme="majorHAnsi" w:eastAsia="Calibri" w:hAnsiTheme="majorHAnsi" w:cs="Times New Roman"/>
          <w:sz w:val="24"/>
          <w:szCs w:val="24"/>
          <w:lang w:val="uz-Cyrl-UZ"/>
        </w:rPr>
        <w:t>,</w:t>
      </w:r>
      <w:r w:rsidR="00EB7F76" w:rsidRPr="001C0271">
        <w:rPr>
          <w:rFonts w:asciiTheme="majorHAnsi" w:eastAsia="Calibri" w:hAnsiTheme="majorHAnsi" w:cs="Times New Roman"/>
          <w:sz w:val="24"/>
          <w:szCs w:val="24"/>
          <w:lang w:val="uz-Cyrl-UZ"/>
        </w:rPr>
        <w:t xml:space="preserve"> a </w:t>
      </w:r>
      <w:r w:rsidR="00AA72C1" w:rsidRPr="001C0271">
        <w:rPr>
          <w:rFonts w:asciiTheme="majorHAnsi" w:eastAsia="Calibri" w:hAnsiTheme="majorHAnsi" w:cs="Times New Roman"/>
          <w:sz w:val="24"/>
          <w:szCs w:val="24"/>
          <w:lang w:val="uz-Cyrl-UZ"/>
        </w:rPr>
        <w:t xml:space="preserve">zahtjev za dodatno ročište </w:t>
      </w:r>
      <w:r w:rsidR="00665A91">
        <w:rPr>
          <w:rFonts w:asciiTheme="majorHAnsi" w:eastAsia="Calibri" w:hAnsiTheme="majorHAnsi" w:cs="Times New Roman"/>
          <w:sz w:val="24"/>
          <w:szCs w:val="24"/>
          <w:lang w:val="uz-Cyrl-UZ"/>
        </w:rPr>
        <w:t xml:space="preserve">je </w:t>
      </w:r>
      <w:r w:rsidR="00AA72C1" w:rsidRPr="001C0271">
        <w:rPr>
          <w:rFonts w:asciiTheme="majorHAnsi" w:eastAsia="Calibri" w:hAnsiTheme="majorHAnsi" w:cs="Times New Roman"/>
          <w:sz w:val="24"/>
          <w:szCs w:val="24"/>
          <w:lang w:val="uz-Cyrl-UZ"/>
        </w:rPr>
        <w:t>odbijen</w:t>
      </w:r>
      <w:r w:rsidR="00EB7F76" w:rsidRPr="001C0271">
        <w:rPr>
          <w:rFonts w:asciiTheme="majorHAnsi" w:eastAsia="Calibri" w:hAnsiTheme="majorHAnsi" w:cs="Times New Roman"/>
          <w:sz w:val="24"/>
          <w:szCs w:val="24"/>
          <w:lang w:val="uz-Cyrl-UZ"/>
        </w:rPr>
        <w:t>.</w:t>
      </w:r>
    </w:p>
    <w:p w:rsidR="00EB7F76" w:rsidRPr="001C0271" w:rsidRDefault="00EB7F76" w:rsidP="00C9380C">
      <w:pPr>
        <w:tabs>
          <w:tab w:val="left" w:pos="7295"/>
        </w:tabs>
        <w:jc w:val="both"/>
        <w:rPr>
          <w:rFonts w:asciiTheme="majorHAnsi" w:eastAsia="Calibri" w:hAnsiTheme="majorHAnsi" w:cs="Times New Roman"/>
          <w:sz w:val="24"/>
          <w:szCs w:val="24"/>
          <w:lang w:val="uz-Cyrl-UZ"/>
        </w:rPr>
      </w:pPr>
      <w:r w:rsidRPr="001C0271">
        <w:rPr>
          <w:rFonts w:asciiTheme="majorHAnsi" w:eastAsia="Calibri" w:hAnsiTheme="majorHAnsi" w:cs="Times New Roman"/>
          <w:sz w:val="24"/>
          <w:szCs w:val="24"/>
          <w:lang w:val="uz-Cyrl-UZ"/>
        </w:rPr>
        <w:t>Evropski sud za ljudska prava je primijetio da se ovaj slučaj razlikovao od drugih turskih slučajeva po tome što je za izricanje novčane kazne primijenjen zakon</w:t>
      </w:r>
      <w:r w:rsidR="00665A91">
        <w:rPr>
          <w:rFonts w:asciiTheme="majorHAnsi" w:eastAsia="Calibri" w:hAnsiTheme="majorHAnsi" w:cs="Times New Roman"/>
          <w:sz w:val="24"/>
          <w:szCs w:val="24"/>
          <w:lang w:val="uz-Cyrl-UZ"/>
        </w:rPr>
        <w:t xml:space="preserve"> o upravnim stvarima</w:t>
      </w:r>
      <w:r w:rsidRPr="001C0271">
        <w:rPr>
          <w:rFonts w:asciiTheme="majorHAnsi" w:eastAsia="Calibri" w:hAnsiTheme="majorHAnsi" w:cs="Times New Roman"/>
          <w:sz w:val="24"/>
          <w:szCs w:val="24"/>
          <w:lang w:val="uz-Cyrl-UZ"/>
        </w:rPr>
        <w:t>, umjesto zakona o spječavanju terorizma</w:t>
      </w:r>
      <w:r w:rsidR="00665A91">
        <w:rPr>
          <w:rFonts w:asciiTheme="majorHAnsi" w:eastAsia="Calibri" w:hAnsiTheme="majorHAnsi" w:cs="Times New Roman"/>
          <w:sz w:val="24"/>
          <w:szCs w:val="24"/>
          <w:lang w:val="uz-Cyrl-UZ"/>
        </w:rPr>
        <w:t>,</w:t>
      </w:r>
      <w:r w:rsidRPr="001C0271">
        <w:rPr>
          <w:rFonts w:asciiTheme="majorHAnsi" w:eastAsia="Calibri" w:hAnsiTheme="majorHAnsi" w:cs="Times New Roman"/>
          <w:sz w:val="24"/>
          <w:szCs w:val="24"/>
          <w:lang w:val="uz-Cyrl-UZ"/>
        </w:rPr>
        <w:t xml:space="preserve"> koji se češće koriste. Sud je primijetio da je govor bio političke prirode</w:t>
      </w:r>
      <w:r w:rsidR="00665A91">
        <w:rPr>
          <w:rFonts w:asciiTheme="majorHAnsi" w:eastAsia="Calibri" w:hAnsiTheme="majorHAnsi" w:cs="Times New Roman"/>
          <w:sz w:val="24"/>
          <w:szCs w:val="24"/>
          <w:lang w:val="uz-Cyrl-UZ"/>
        </w:rPr>
        <w:t>,</w:t>
      </w:r>
      <w:r w:rsidRPr="001C0271">
        <w:rPr>
          <w:rFonts w:asciiTheme="majorHAnsi" w:eastAsia="Calibri" w:hAnsiTheme="majorHAnsi" w:cs="Times New Roman"/>
          <w:sz w:val="24"/>
          <w:szCs w:val="24"/>
          <w:lang w:val="uz-Cyrl-UZ"/>
        </w:rPr>
        <w:t xml:space="preserve"> a da političke govore </w:t>
      </w:r>
      <w:r w:rsidR="00665A91">
        <w:rPr>
          <w:rFonts w:asciiTheme="majorHAnsi" w:eastAsia="Calibri" w:hAnsiTheme="majorHAnsi" w:cs="Times New Roman"/>
          <w:sz w:val="24"/>
          <w:szCs w:val="24"/>
          <w:lang w:val="uz-Cyrl-UZ"/>
        </w:rPr>
        <w:t xml:space="preserve">po pravilu </w:t>
      </w:r>
      <w:r w:rsidRPr="001C0271">
        <w:rPr>
          <w:rFonts w:asciiTheme="majorHAnsi" w:eastAsia="Calibri" w:hAnsiTheme="majorHAnsi" w:cs="Times New Roman"/>
          <w:sz w:val="24"/>
          <w:szCs w:val="24"/>
          <w:lang w:val="uz-Cyrl-UZ"/>
        </w:rPr>
        <w:t>ne treba</w:t>
      </w:r>
      <w:r w:rsidR="00665A91">
        <w:rPr>
          <w:rFonts w:asciiTheme="majorHAnsi" w:eastAsia="Calibri" w:hAnsiTheme="majorHAnsi" w:cs="Times New Roman"/>
          <w:sz w:val="24"/>
          <w:szCs w:val="24"/>
          <w:lang w:val="uz-Cyrl-UZ"/>
        </w:rPr>
        <w:t xml:space="preserve"> </w:t>
      </w:r>
      <w:r w:rsidRPr="001C0271">
        <w:rPr>
          <w:rFonts w:asciiTheme="majorHAnsi" w:eastAsia="Calibri" w:hAnsiTheme="majorHAnsi" w:cs="Times New Roman"/>
          <w:sz w:val="24"/>
          <w:szCs w:val="24"/>
          <w:lang w:val="uz-Cyrl-UZ"/>
        </w:rPr>
        <w:t>ograničavati – to je kategorija</w:t>
      </w:r>
      <w:r w:rsidR="00665A91">
        <w:rPr>
          <w:rFonts w:asciiTheme="majorHAnsi" w:eastAsia="Calibri" w:hAnsiTheme="majorHAnsi" w:cs="Times New Roman"/>
          <w:sz w:val="24"/>
          <w:szCs w:val="24"/>
          <w:lang w:val="uz-Cyrl-UZ"/>
        </w:rPr>
        <w:t xml:space="preserve"> govora</w:t>
      </w:r>
      <w:r w:rsidRPr="001C0271">
        <w:rPr>
          <w:rFonts w:asciiTheme="majorHAnsi" w:eastAsia="Calibri" w:hAnsiTheme="majorHAnsi" w:cs="Times New Roman"/>
          <w:sz w:val="24"/>
          <w:szCs w:val="24"/>
          <w:lang w:val="uz-Cyrl-UZ"/>
        </w:rPr>
        <w:t xml:space="preserve"> koj</w:t>
      </w:r>
      <w:r w:rsidR="00665A91">
        <w:rPr>
          <w:rFonts w:asciiTheme="majorHAnsi" w:eastAsia="Calibri" w:hAnsiTheme="majorHAnsi" w:cs="Times New Roman"/>
          <w:sz w:val="24"/>
          <w:szCs w:val="24"/>
          <w:lang w:val="uz-Cyrl-UZ"/>
        </w:rPr>
        <w:t>i</w:t>
      </w:r>
      <w:r w:rsidRPr="001C0271">
        <w:rPr>
          <w:rFonts w:asciiTheme="majorHAnsi" w:eastAsia="Calibri" w:hAnsiTheme="majorHAnsi" w:cs="Times New Roman"/>
          <w:sz w:val="24"/>
          <w:szCs w:val="24"/>
          <w:lang w:val="uz-Cyrl-UZ"/>
        </w:rPr>
        <w:t xml:space="preserve"> Evropska konvencija najviše štiti.</w:t>
      </w:r>
      <w:r w:rsidR="00AD0B41" w:rsidRPr="001C0271">
        <w:rPr>
          <w:rFonts w:asciiTheme="majorHAnsi" w:eastAsia="Calibri" w:hAnsiTheme="majorHAnsi" w:cs="Times New Roman"/>
          <w:sz w:val="24"/>
          <w:szCs w:val="24"/>
          <w:lang w:val="uz-Cyrl-UZ"/>
        </w:rPr>
        <w:t xml:space="preserve"> </w:t>
      </w:r>
      <w:r w:rsidR="00960087" w:rsidRPr="001C0271">
        <w:rPr>
          <w:rFonts w:asciiTheme="majorHAnsi" w:eastAsia="Calibri" w:hAnsiTheme="majorHAnsi" w:cs="Times New Roman"/>
          <w:sz w:val="24"/>
          <w:szCs w:val="24"/>
          <w:lang w:val="uz-Cyrl-UZ"/>
        </w:rPr>
        <w:t>Osnovni kriterijum konvencijskog prava je da izražavanje treba da bude ograničeno</w:t>
      </w:r>
      <w:r w:rsidR="00AD0B41" w:rsidRPr="001C0271">
        <w:rPr>
          <w:rFonts w:asciiTheme="majorHAnsi" w:eastAsia="Calibri" w:hAnsiTheme="majorHAnsi" w:cs="Times New Roman"/>
          <w:sz w:val="24"/>
          <w:szCs w:val="24"/>
          <w:lang w:val="uz-Cyrl-UZ"/>
        </w:rPr>
        <w:t xml:space="preserve"> sam</w:t>
      </w:r>
      <w:r w:rsidR="0001230B" w:rsidRPr="001C0271">
        <w:rPr>
          <w:rFonts w:asciiTheme="majorHAnsi" w:eastAsia="Calibri" w:hAnsiTheme="majorHAnsi" w:cs="Times New Roman"/>
          <w:sz w:val="24"/>
          <w:szCs w:val="24"/>
          <w:lang w:val="uz-Cyrl-UZ"/>
        </w:rPr>
        <w:t>o na os</w:t>
      </w:r>
      <w:r w:rsidR="00475856" w:rsidRPr="001C0271">
        <w:rPr>
          <w:rFonts w:asciiTheme="majorHAnsi" w:eastAsia="Calibri" w:hAnsiTheme="majorHAnsi" w:cs="Times New Roman"/>
          <w:sz w:val="24"/>
          <w:szCs w:val="24"/>
          <w:lang w:val="uz-Cyrl-UZ"/>
        </w:rPr>
        <w:t>novu zakona koji je jasan i čija</w:t>
      </w:r>
      <w:r w:rsidR="0001230B" w:rsidRPr="001C0271">
        <w:rPr>
          <w:rFonts w:asciiTheme="majorHAnsi" w:eastAsia="Calibri" w:hAnsiTheme="majorHAnsi" w:cs="Times New Roman"/>
          <w:sz w:val="24"/>
          <w:szCs w:val="24"/>
          <w:lang w:val="uz-Cyrl-UZ"/>
        </w:rPr>
        <w:t xml:space="preserve"> je</w:t>
      </w:r>
      <w:r w:rsidR="00AD0B41" w:rsidRPr="001C0271">
        <w:rPr>
          <w:rFonts w:asciiTheme="majorHAnsi" w:eastAsia="Calibri" w:hAnsiTheme="majorHAnsi" w:cs="Times New Roman"/>
          <w:sz w:val="24"/>
          <w:szCs w:val="24"/>
          <w:lang w:val="uz-Cyrl-UZ"/>
        </w:rPr>
        <w:t xml:space="preserve"> upotreba </w:t>
      </w:r>
      <w:r w:rsidR="0001230B" w:rsidRPr="001C0271">
        <w:rPr>
          <w:rFonts w:asciiTheme="majorHAnsi" w:eastAsia="Calibri" w:hAnsiTheme="majorHAnsi" w:cs="Times New Roman"/>
          <w:sz w:val="24"/>
          <w:szCs w:val="24"/>
          <w:lang w:val="uz-Cyrl-UZ"/>
        </w:rPr>
        <w:t>„predvidljiva“</w:t>
      </w:r>
      <w:r w:rsidR="001B6EBF" w:rsidRPr="001C0271">
        <w:rPr>
          <w:rFonts w:asciiTheme="majorHAnsi" w:eastAsia="Calibri" w:hAnsiTheme="majorHAnsi" w:cs="Times New Roman"/>
          <w:sz w:val="24"/>
          <w:szCs w:val="24"/>
          <w:lang w:val="uz-Cyrl-UZ"/>
        </w:rPr>
        <w:t xml:space="preserve">, tako da </w:t>
      </w:r>
      <w:r w:rsidR="00665A91">
        <w:rPr>
          <w:rFonts w:asciiTheme="majorHAnsi" w:eastAsia="Calibri" w:hAnsiTheme="majorHAnsi" w:cs="Times New Roman"/>
          <w:sz w:val="24"/>
          <w:szCs w:val="24"/>
          <w:lang w:val="uz-Cyrl-UZ"/>
        </w:rPr>
        <w:t>svako</w:t>
      </w:r>
      <w:r w:rsidR="001B6EBF" w:rsidRPr="001C0271">
        <w:rPr>
          <w:rFonts w:asciiTheme="majorHAnsi" w:eastAsia="Calibri" w:hAnsiTheme="majorHAnsi" w:cs="Times New Roman"/>
          <w:sz w:val="24"/>
          <w:szCs w:val="24"/>
          <w:lang w:val="uz-Cyrl-UZ"/>
        </w:rPr>
        <w:t xml:space="preserve"> zna da li</w:t>
      </w:r>
      <w:r w:rsidR="0001230B" w:rsidRPr="001C0271">
        <w:rPr>
          <w:rFonts w:asciiTheme="majorHAnsi" w:eastAsia="Calibri" w:hAnsiTheme="majorHAnsi" w:cs="Times New Roman"/>
          <w:sz w:val="24"/>
          <w:szCs w:val="24"/>
          <w:lang w:val="uz-Cyrl-UZ"/>
        </w:rPr>
        <w:t xml:space="preserve"> je </w:t>
      </w:r>
      <w:r w:rsidR="00665A91" w:rsidRPr="001C0271">
        <w:rPr>
          <w:rFonts w:asciiTheme="majorHAnsi" w:eastAsia="Calibri" w:hAnsiTheme="majorHAnsi" w:cs="Times New Roman"/>
          <w:sz w:val="24"/>
          <w:szCs w:val="24"/>
          <w:lang w:val="uz-Cyrl-UZ"/>
        </w:rPr>
        <w:t xml:space="preserve">zabranjeno </w:t>
      </w:r>
      <w:r w:rsidR="0001230B" w:rsidRPr="001C0271">
        <w:rPr>
          <w:rFonts w:asciiTheme="majorHAnsi" w:eastAsia="Calibri" w:hAnsiTheme="majorHAnsi" w:cs="Times New Roman"/>
          <w:sz w:val="24"/>
          <w:szCs w:val="24"/>
          <w:lang w:val="uz-Cyrl-UZ"/>
        </w:rPr>
        <w:t>nešto što bi mog</w:t>
      </w:r>
      <w:r w:rsidR="00665A91">
        <w:rPr>
          <w:rFonts w:asciiTheme="majorHAnsi" w:eastAsia="Calibri" w:hAnsiTheme="majorHAnsi" w:cs="Times New Roman"/>
          <w:sz w:val="24"/>
          <w:szCs w:val="24"/>
          <w:lang w:val="uz-Cyrl-UZ"/>
        </w:rPr>
        <w:t>ao da kaže</w:t>
      </w:r>
      <w:r w:rsidR="0001230B" w:rsidRPr="001C0271">
        <w:rPr>
          <w:rFonts w:asciiTheme="majorHAnsi" w:eastAsia="Calibri" w:hAnsiTheme="majorHAnsi" w:cs="Times New Roman"/>
          <w:sz w:val="24"/>
          <w:szCs w:val="24"/>
          <w:lang w:val="uz-Cyrl-UZ"/>
        </w:rPr>
        <w:t xml:space="preserve">. Na ovaj način se </w:t>
      </w:r>
      <w:r w:rsidR="00665A91" w:rsidRPr="001C0271">
        <w:rPr>
          <w:rFonts w:asciiTheme="majorHAnsi" w:eastAsia="Calibri" w:hAnsiTheme="majorHAnsi" w:cs="Times New Roman"/>
          <w:sz w:val="24"/>
          <w:szCs w:val="24"/>
          <w:lang w:val="uz-Cyrl-UZ"/>
        </w:rPr>
        <w:t xml:space="preserve">vlasti </w:t>
      </w:r>
      <w:r w:rsidR="0001230B" w:rsidRPr="001C0271">
        <w:rPr>
          <w:rFonts w:asciiTheme="majorHAnsi" w:eastAsia="Calibri" w:hAnsiTheme="majorHAnsi" w:cs="Times New Roman"/>
          <w:sz w:val="24"/>
          <w:szCs w:val="24"/>
          <w:lang w:val="uz-Cyrl-UZ"/>
        </w:rPr>
        <w:t xml:space="preserve">sprječavaju da zakon primjenjuju proizvoljno. Sud je smatrao da je zakon na osnovu kojeg </w:t>
      </w:r>
      <w:r w:rsidR="00475856" w:rsidRPr="001C0271">
        <w:rPr>
          <w:rFonts w:asciiTheme="majorHAnsi" w:eastAsia="Calibri" w:hAnsiTheme="majorHAnsi" w:cs="Times New Roman"/>
          <w:sz w:val="24"/>
          <w:szCs w:val="24"/>
          <w:lang w:val="uz-Cyrl-UZ"/>
        </w:rPr>
        <w:t xml:space="preserve">je </w:t>
      </w:r>
      <w:r w:rsidR="0001230B" w:rsidRPr="001C0271">
        <w:rPr>
          <w:rFonts w:asciiTheme="majorHAnsi" w:eastAsia="Calibri" w:hAnsiTheme="majorHAnsi" w:cs="Times New Roman"/>
          <w:sz w:val="24"/>
          <w:szCs w:val="24"/>
          <w:lang w:val="uz-Cyrl-UZ"/>
        </w:rPr>
        <w:t>p</w:t>
      </w:r>
      <w:r w:rsidR="00475856" w:rsidRPr="001C0271">
        <w:rPr>
          <w:rFonts w:asciiTheme="majorHAnsi" w:eastAsia="Calibri" w:hAnsiTheme="majorHAnsi" w:cs="Times New Roman"/>
          <w:sz w:val="24"/>
          <w:szCs w:val="24"/>
          <w:lang w:val="uz-Cyrl-UZ"/>
        </w:rPr>
        <w:t>j</w:t>
      </w:r>
      <w:r w:rsidR="0001230B" w:rsidRPr="001C0271">
        <w:rPr>
          <w:rFonts w:asciiTheme="majorHAnsi" w:eastAsia="Calibri" w:hAnsiTheme="majorHAnsi" w:cs="Times New Roman"/>
          <w:sz w:val="24"/>
          <w:szCs w:val="24"/>
          <w:lang w:val="uz-Cyrl-UZ"/>
        </w:rPr>
        <w:t xml:space="preserve">evač osuđen </w:t>
      </w:r>
      <w:r w:rsidR="00475856" w:rsidRPr="001C0271">
        <w:rPr>
          <w:rFonts w:asciiTheme="majorHAnsi" w:eastAsia="Calibri" w:hAnsiTheme="majorHAnsi" w:cs="Times New Roman"/>
          <w:sz w:val="24"/>
          <w:szCs w:val="24"/>
          <w:lang w:val="uz-Cyrl-UZ"/>
        </w:rPr>
        <w:t xml:space="preserve">sadržao </w:t>
      </w:r>
      <w:r w:rsidR="0001230B" w:rsidRPr="001C0271">
        <w:rPr>
          <w:rFonts w:asciiTheme="majorHAnsi" w:eastAsia="Calibri" w:hAnsiTheme="majorHAnsi" w:cs="Times New Roman"/>
          <w:sz w:val="24"/>
          <w:szCs w:val="24"/>
          <w:lang w:val="uz-Cyrl-UZ"/>
        </w:rPr>
        <w:t>krivično d</w:t>
      </w:r>
      <w:r w:rsidR="00475856" w:rsidRPr="001C0271">
        <w:rPr>
          <w:rFonts w:asciiTheme="majorHAnsi" w:eastAsia="Calibri" w:hAnsiTheme="majorHAnsi" w:cs="Times New Roman"/>
          <w:sz w:val="24"/>
          <w:szCs w:val="24"/>
          <w:lang w:val="uz-Cyrl-UZ"/>
        </w:rPr>
        <w:t>j</w:t>
      </w:r>
      <w:r w:rsidR="0001230B" w:rsidRPr="001C0271">
        <w:rPr>
          <w:rFonts w:asciiTheme="majorHAnsi" w:eastAsia="Calibri" w:hAnsiTheme="majorHAnsi" w:cs="Times New Roman"/>
          <w:sz w:val="24"/>
          <w:szCs w:val="24"/>
          <w:lang w:val="uz-Cyrl-UZ"/>
        </w:rPr>
        <w:t xml:space="preserve">elo za </w:t>
      </w:r>
      <w:r w:rsidR="00475856" w:rsidRPr="001C0271">
        <w:rPr>
          <w:rFonts w:asciiTheme="majorHAnsi" w:eastAsia="Calibri" w:hAnsiTheme="majorHAnsi" w:cs="Times New Roman"/>
          <w:sz w:val="24"/>
          <w:szCs w:val="24"/>
          <w:lang w:val="uz-Cyrl-UZ"/>
        </w:rPr>
        <w:t>nepostupanje u skladu sa „naredbom</w:t>
      </w:r>
      <w:r w:rsidR="0001230B" w:rsidRPr="001C0271">
        <w:rPr>
          <w:rFonts w:asciiTheme="majorHAnsi" w:eastAsia="Calibri" w:hAnsiTheme="majorHAnsi" w:cs="Times New Roman"/>
          <w:sz w:val="24"/>
          <w:szCs w:val="24"/>
          <w:lang w:val="uz-Cyrl-UZ"/>
        </w:rPr>
        <w:t xml:space="preserve"> </w:t>
      </w:r>
      <w:r w:rsidR="00475856" w:rsidRPr="001C0271">
        <w:rPr>
          <w:rFonts w:asciiTheme="majorHAnsi" w:eastAsia="Calibri" w:hAnsiTheme="majorHAnsi" w:cs="Times New Roman"/>
          <w:sz w:val="24"/>
          <w:szCs w:val="24"/>
          <w:lang w:val="uz-Cyrl-UZ"/>
        </w:rPr>
        <w:t>nadležnog organa ili preventivnom mjerom koju je on preduzeo“</w:t>
      </w:r>
      <w:r w:rsidR="0001230B" w:rsidRPr="001C0271">
        <w:rPr>
          <w:rFonts w:asciiTheme="majorHAnsi" w:eastAsia="Calibri" w:hAnsiTheme="majorHAnsi" w:cs="Times New Roman"/>
          <w:sz w:val="24"/>
          <w:szCs w:val="24"/>
          <w:lang w:val="uz-Cyrl-UZ"/>
        </w:rPr>
        <w:t>.</w:t>
      </w:r>
      <w:r w:rsidR="00475856" w:rsidRPr="001C0271">
        <w:rPr>
          <w:rFonts w:asciiTheme="majorHAnsi" w:eastAsia="Calibri" w:hAnsiTheme="majorHAnsi" w:cs="Times New Roman"/>
          <w:sz w:val="24"/>
          <w:szCs w:val="24"/>
          <w:lang w:val="uz-Cyrl-UZ"/>
        </w:rPr>
        <w:t xml:space="preserve"> Sud je smatrao da ova formulacija nije bila dovoljno jasna da bi omogućila podnosiocu predstavke da shvati da komentarisanje, u svojstvu pjevača, </w:t>
      </w:r>
      <w:r w:rsidR="005C5A8A" w:rsidRPr="001C0271">
        <w:rPr>
          <w:rFonts w:asciiTheme="majorHAnsi" w:eastAsia="Calibri" w:hAnsiTheme="majorHAnsi" w:cs="Times New Roman"/>
          <w:sz w:val="24"/>
          <w:szCs w:val="24"/>
          <w:lang w:val="uz-Cyrl-UZ"/>
        </w:rPr>
        <w:t>na prethodno od</w:t>
      </w:r>
      <w:r w:rsidR="00052A91">
        <w:rPr>
          <w:rFonts w:asciiTheme="majorHAnsi" w:eastAsia="Calibri" w:hAnsiTheme="majorHAnsi" w:cs="Times New Roman"/>
          <w:sz w:val="24"/>
          <w:szCs w:val="24"/>
          <w:lang w:val="uz-Cyrl-UZ"/>
        </w:rPr>
        <w:t>o</w:t>
      </w:r>
      <w:r w:rsidR="005C5A8A" w:rsidRPr="001C0271">
        <w:rPr>
          <w:rFonts w:asciiTheme="majorHAnsi" w:eastAsia="Calibri" w:hAnsiTheme="majorHAnsi" w:cs="Times New Roman"/>
          <w:sz w:val="24"/>
          <w:szCs w:val="24"/>
          <w:lang w:val="uz-Cyrl-UZ"/>
        </w:rPr>
        <w:t xml:space="preserve">brenom koncertu predstavlja postupanje </w:t>
      </w:r>
      <w:r w:rsidR="00052A91">
        <w:rPr>
          <w:rFonts w:asciiTheme="majorHAnsi" w:eastAsia="Calibri" w:hAnsiTheme="majorHAnsi" w:cs="Times New Roman"/>
          <w:sz w:val="24"/>
          <w:szCs w:val="24"/>
          <w:lang w:val="uz-Cyrl-UZ"/>
        </w:rPr>
        <w:t>protivno</w:t>
      </w:r>
      <w:r w:rsidR="005C5A8A" w:rsidRPr="001C0271">
        <w:rPr>
          <w:rFonts w:asciiTheme="majorHAnsi" w:eastAsia="Calibri" w:hAnsiTheme="majorHAnsi" w:cs="Times New Roman"/>
          <w:sz w:val="24"/>
          <w:szCs w:val="24"/>
          <w:lang w:val="uz-Cyrl-UZ"/>
        </w:rPr>
        <w:t xml:space="preserve"> administrativno</w:t>
      </w:r>
      <w:r w:rsidR="00052A91">
        <w:rPr>
          <w:rFonts w:asciiTheme="majorHAnsi" w:eastAsia="Calibri" w:hAnsiTheme="majorHAnsi" w:cs="Times New Roman"/>
          <w:sz w:val="24"/>
          <w:szCs w:val="24"/>
          <w:lang w:val="uz-Cyrl-UZ"/>
        </w:rPr>
        <w:t>j</w:t>
      </w:r>
      <w:r w:rsidR="005C5A8A" w:rsidRPr="001C0271">
        <w:rPr>
          <w:rFonts w:asciiTheme="majorHAnsi" w:eastAsia="Calibri" w:hAnsiTheme="majorHAnsi" w:cs="Times New Roman"/>
          <w:sz w:val="24"/>
          <w:szCs w:val="24"/>
          <w:lang w:val="uz-Cyrl-UZ"/>
        </w:rPr>
        <w:t xml:space="preserve"> naredb</w:t>
      </w:r>
      <w:r w:rsidR="00052A91">
        <w:rPr>
          <w:rFonts w:asciiTheme="majorHAnsi" w:eastAsia="Calibri" w:hAnsiTheme="majorHAnsi" w:cs="Times New Roman"/>
          <w:sz w:val="24"/>
          <w:szCs w:val="24"/>
          <w:lang w:val="uz-Cyrl-UZ"/>
        </w:rPr>
        <w:t>i</w:t>
      </w:r>
      <w:r w:rsidR="005C5A8A" w:rsidRPr="001C0271">
        <w:rPr>
          <w:rFonts w:asciiTheme="majorHAnsi" w:eastAsia="Calibri" w:hAnsiTheme="majorHAnsi" w:cs="Times New Roman"/>
          <w:sz w:val="24"/>
          <w:szCs w:val="24"/>
          <w:lang w:val="uz-Cyrl-UZ"/>
        </w:rPr>
        <w:t>.</w:t>
      </w:r>
      <w:r w:rsidR="00475856" w:rsidRPr="001C0271">
        <w:rPr>
          <w:rFonts w:asciiTheme="majorHAnsi" w:eastAsia="Calibri" w:hAnsiTheme="majorHAnsi" w:cs="Times New Roman"/>
          <w:sz w:val="24"/>
          <w:szCs w:val="24"/>
          <w:lang w:val="uz-Cyrl-UZ"/>
        </w:rPr>
        <w:t xml:space="preserve"> </w:t>
      </w:r>
      <w:r w:rsidR="005C5A8A" w:rsidRPr="001C0271">
        <w:rPr>
          <w:rFonts w:asciiTheme="majorHAnsi" w:eastAsia="Calibri" w:hAnsiTheme="majorHAnsi" w:cs="Times New Roman"/>
          <w:sz w:val="24"/>
          <w:szCs w:val="24"/>
          <w:lang w:val="uz-Cyrl-UZ"/>
        </w:rPr>
        <w:t>Stoga</w:t>
      </w:r>
      <w:r w:rsidR="00475856" w:rsidRPr="001C0271">
        <w:rPr>
          <w:rFonts w:asciiTheme="majorHAnsi" w:eastAsia="Calibri" w:hAnsiTheme="majorHAnsi" w:cs="Times New Roman"/>
          <w:sz w:val="24"/>
          <w:szCs w:val="24"/>
          <w:lang w:val="uz-Cyrl-UZ"/>
        </w:rPr>
        <w:t xml:space="preserve">, Sud je zaključio da su domaći sudovi </w:t>
      </w:r>
      <w:r w:rsidR="001B6EBF" w:rsidRPr="001C0271">
        <w:rPr>
          <w:rFonts w:asciiTheme="majorHAnsi" w:eastAsia="Calibri" w:hAnsiTheme="majorHAnsi" w:cs="Times New Roman"/>
          <w:sz w:val="24"/>
          <w:szCs w:val="24"/>
          <w:lang w:val="uz-Cyrl-UZ"/>
        </w:rPr>
        <w:t>previdjeli</w:t>
      </w:r>
      <w:r w:rsidR="00052A91">
        <w:rPr>
          <w:rFonts w:asciiTheme="majorHAnsi" w:eastAsia="Calibri" w:hAnsiTheme="majorHAnsi" w:cs="Times New Roman"/>
          <w:sz w:val="24"/>
          <w:szCs w:val="24"/>
          <w:lang w:val="uz-Cyrl-UZ"/>
        </w:rPr>
        <w:t xml:space="preserve"> da</w:t>
      </w:r>
      <w:r w:rsidR="001B6EBF" w:rsidRPr="001C0271">
        <w:rPr>
          <w:rFonts w:asciiTheme="majorHAnsi" w:eastAsia="Calibri" w:hAnsiTheme="majorHAnsi" w:cs="Times New Roman"/>
          <w:sz w:val="24"/>
          <w:szCs w:val="24"/>
          <w:lang w:val="uz-Cyrl-UZ"/>
        </w:rPr>
        <w:t xml:space="preserve"> </w:t>
      </w:r>
      <w:r w:rsidR="00052A91" w:rsidRPr="001C0271">
        <w:rPr>
          <w:rFonts w:asciiTheme="majorHAnsi" w:eastAsia="Calibri" w:hAnsiTheme="majorHAnsi" w:cs="Times New Roman"/>
          <w:sz w:val="24"/>
          <w:szCs w:val="24"/>
          <w:lang w:val="uz-Cyrl-UZ"/>
        </w:rPr>
        <w:t xml:space="preserve">u okolnostima ovoga slučaja </w:t>
      </w:r>
      <w:r w:rsidR="00052A91">
        <w:rPr>
          <w:rFonts w:asciiTheme="majorHAnsi" w:eastAsia="Calibri" w:hAnsiTheme="majorHAnsi" w:cs="Times New Roman"/>
          <w:sz w:val="24"/>
          <w:szCs w:val="24"/>
          <w:lang w:val="uz-Cyrl-UZ"/>
        </w:rPr>
        <w:t>pjevač nije mogao</w:t>
      </w:r>
      <w:r w:rsidR="00475856" w:rsidRPr="001C0271">
        <w:rPr>
          <w:rFonts w:asciiTheme="majorHAnsi" w:eastAsia="Calibri" w:hAnsiTheme="majorHAnsi" w:cs="Times New Roman"/>
          <w:sz w:val="24"/>
          <w:szCs w:val="24"/>
          <w:lang w:val="uz-Cyrl-UZ"/>
        </w:rPr>
        <w:t xml:space="preserve"> razumno p</w:t>
      </w:r>
      <w:r w:rsidR="00D7020B" w:rsidRPr="001C0271">
        <w:rPr>
          <w:rFonts w:asciiTheme="majorHAnsi" w:eastAsia="Calibri" w:hAnsiTheme="majorHAnsi" w:cs="Times New Roman"/>
          <w:sz w:val="24"/>
          <w:szCs w:val="24"/>
          <w:lang w:val="uz-Cyrl-UZ"/>
        </w:rPr>
        <w:t>redvid</w:t>
      </w:r>
      <w:r w:rsidR="0013367C" w:rsidRPr="001C0271">
        <w:rPr>
          <w:rFonts w:asciiTheme="majorHAnsi" w:eastAsia="Calibri" w:hAnsiTheme="majorHAnsi" w:cs="Times New Roman"/>
          <w:sz w:val="24"/>
          <w:szCs w:val="24"/>
          <w:lang w:val="uz-Cyrl-UZ"/>
        </w:rPr>
        <w:t>j</w:t>
      </w:r>
      <w:r w:rsidR="00D7020B" w:rsidRPr="001C0271">
        <w:rPr>
          <w:rFonts w:asciiTheme="majorHAnsi" w:eastAsia="Calibri" w:hAnsiTheme="majorHAnsi" w:cs="Times New Roman"/>
          <w:sz w:val="24"/>
          <w:szCs w:val="24"/>
          <w:lang w:val="uz-Cyrl-UZ"/>
        </w:rPr>
        <w:t>eti</w:t>
      </w:r>
      <w:r w:rsidR="00052A91">
        <w:rPr>
          <w:rFonts w:asciiTheme="majorHAnsi" w:eastAsia="Calibri" w:hAnsiTheme="majorHAnsi" w:cs="Times New Roman"/>
          <w:sz w:val="24"/>
          <w:szCs w:val="24"/>
          <w:lang w:val="uz-Cyrl-UZ"/>
        </w:rPr>
        <w:t xml:space="preserve"> sankciju</w:t>
      </w:r>
      <w:r w:rsidR="001B6EBF" w:rsidRPr="001C0271">
        <w:rPr>
          <w:rFonts w:asciiTheme="majorHAnsi" w:eastAsia="Calibri" w:hAnsiTheme="majorHAnsi" w:cs="Times New Roman"/>
          <w:sz w:val="24"/>
          <w:szCs w:val="24"/>
          <w:lang w:val="uz-Cyrl-UZ"/>
        </w:rPr>
        <w:t xml:space="preserve">, </w:t>
      </w:r>
      <w:r w:rsidR="00052A91">
        <w:rPr>
          <w:rFonts w:asciiTheme="majorHAnsi" w:eastAsia="Calibri" w:hAnsiTheme="majorHAnsi" w:cs="Times New Roman"/>
          <w:sz w:val="24"/>
          <w:szCs w:val="24"/>
          <w:lang w:val="uz-Cyrl-UZ"/>
        </w:rPr>
        <w:t>pa je to</w:t>
      </w:r>
      <w:r w:rsidR="0013367C" w:rsidRPr="001C0271">
        <w:rPr>
          <w:rFonts w:asciiTheme="majorHAnsi" w:eastAsia="Calibri" w:hAnsiTheme="majorHAnsi" w:cs="Times New Roman"/>
          <w:sz w:val="24"/>
          <w:szCs w:val="24"/>
          <w:lang w:val="uz-Cyrl-UZ"/>
        </w:rPr>
        <w:t xml:space="preserve"> </w:t>
      </w:r>
      <w:r w:rsidR="00475856" w:rsidRPr="001C0271">
        <w:rPr>
          <w:rFonts w:asciiTheme="majorHAnsi" w:eastAsia="Calibri" w:hAnsiTheme="majorHAnsi" w:cs="Times New Roman"/>
          <w:sz w:val="24"/>
          <w:szCs w:val="24"/>
          <w:lang w:val="uz-Cyrl-UZ"/>
        </w:rPr>
        <w:t>predstavlja</w:t>
      </w:r>
      <w:r w:rsidR="0013367C" w:rsidRPr="001C0271">
        <w:rPr>
          <w:rFonts w:asciiTheme="majorHAnsi" w:eastAsia="Calibri" w:hAnsiTheme="majorHAnsi" w:cs="Times New Roman"/>
          <w:sz w:val="24"/>
          <w:szCs w:val="24"/>
          <w:lang w:val="uz-Cyrl-UZ"/>
        </w:rPr>
        <w:t>lo</w:t>
      </w:r>
      <w:r w:rsidR="00475856" w:rsidRPr="001C0271">
        <w:rPr>
          <w:rFonts w:asciiTheme="majorHAnsi" w:eastAsia="Calibri" w:hAnsiTheme="majorHAnsi" w:cs="Times New Roman"/>
          <w:sz w:val="24"/>
          <w:szCs w:val="24"/>
          <w:lang w:val="uz-Cyrl-UZ"/>
        </w:rPr>
        <w:t xml:space="preserve"> kršen</w:t>
      </w:r>
      <w:r w:rsidR="001B6EBF" w:rsidRPr="001C0271">
        <w:rPr>
          <w:rFonts w:asciiTheme="majorHAnsi" w:eastAsia="Calibri" w:hAnsiTheme="majorHAnsi" w:cs="Times New Roman"/>
          <w:sz w:val="24"/>
          <w:szCs w:val="24"/>
          <w:lang w:val="uz-Cyrl-UZ"/>
        </w:rPr>
        <w:t>je prava na slobodu izražavanja</w:t>
      </w:r>
      <w:r w:rsidR="00475856" w:rsidRPr="001C0271">
        <w:rPr>
          <w:rFonts w:asciiTheme="majorHAnsi" w:eastAsia="Calibri" w:hAnsiTheme="majorHAnsi" w:cs="Times New Roman"/>
          <w:sz w:val="24"/>
          <w:szCs w:val="24"/>
          <w:lang w:val="uz-Cyrl-UZ"/>
        </w:rPr>
        <w:t>.</w:t>
      </w:r>
    </w:p>
    <w:p w:rsidR="001140CB" w:rsidRPr="001140CB" w:rsidRDefault="001140CB" w:rsidP="001140CB">
      <w:pPr>
        <w:pStyle w:val="ListParagraph"/>
        <w:numPr>
          <w:ilvl w:val="0"/>
          <w:numId w:val="11"/>
        </w:numPr>
        <w:jc w:val="both"/>
        <w:rPr>
          <w:rFonts w:asciiTheme="majorHAnsi" w:hAnsiTheme="majorHAnsi"/>
          <w:sz w:val="24"/>
          <w:szCs w:val="24"/>
          <w:lang w:val="uz-Cyrl-UZ"/>
        </w:rPr>
      </w:pPr>
      <w:r w:rsidRPr="001140CB">
        <w:rPr>
          <w:rFonts w:asciiTheme="majorHAnsi" w:hAnsiTheme="majorHAnsi"/>
          <w:b/>
          <w:sz w:val="24"/>
          <w:szCs w:val="24"/>
          <w:lang w:val="uz-Cyrl-UZ"/>
        </w:rPr>
        <w:t xml:space="preserve">Cojocaru protiv Rumunije </w:t>
      </w:r>
      <w:r w:rsidRPr="001140CB">
        <w:rPr>
          <w:rFonts w:asciiTheme="majorHAnsi" w:hAnsiTheme="majorHAnsi"/>
          <w:sz w:val="24"/>
          <w:szCs w:val="24"/>
          <w:lang w:val="uz-Cyrl-UZ"/>
        </w:rPr>
        <w:t xml:space="preserve">(predstavka br. 32104/06), 10. februar 2015: </w:t>
      </w:r>
      <w:r w:rsidRPr="001140CB">
        <w:rPr>
          <w:rFonts w:asciiTheme="majorHAnsi" w:hAnsiTheme="majorHAnsi"/>
          <w:sz w:val="24"/>
          <w:szCs w:val="24"/>
          <w:highlight w:val="yellow"/>
          <w:lang w:val="uz-Cyrl-UZ"/>
        </w:rPr>
        <w:t>osudom za klevetu zbog provokativnog članka kojim je gradonačelnik pozvan da podnese ostavku je p</w:t>
      </w:r>
      <w:r>
        <w:rPr>
          <w:rFonts w:asciiTheme="majorHAnsi" w:hAnsiTheme="majorHAnsi"/>
          <w:sz w:val="24"/>
          <w:szCs w:val="24"/>
          <w:highlight w:val="yellow"/>
          <w:lang w:val="uz-Cyrl-UZ"/>
        </w:rPr>
        <w:t>rekršeno</w:t>
      </w:r>
      <w:r w:rsidRPr="001140CB">
        <w:rPr>
          <w:rFonts w:asciiTheme="majorHAnsi" w:hAnsiTheme="majorHAnsi"/>
          <w:sz w:val="24"/>
          <w:szCs w:val="24"/>
          <w:highlight w:val="yellow"/>
          <w:lang w:val="uz-Cyrl-UZ"/>
        </w:rPr>
        <w:t xml:space="preserve"> pravo na slobodu izražavanja</w:t>
      </w:r>
    </w:p>
    <w:p w:rsidR="003D241D" w:rsidRPr="001C0271" w:rsidRDefault="00052A91" w:rsidP="001479EE">
      <w:pPr>
        <w:spacing w:after="0"/>
        <w:jc w:val="both"/>
        <w:rPr>
          <w:rFonts w:asciiTheme="majorHAnsi" w:eastAsia="Calibri" w:hAnsiTheme="majorHAnsi" w:cs="Times New Roman"/>
          <w:sz w:val="24"/>
          <w:szCs w:val="24"/>
          <w:lang w:val="uz-Cyrl-UZ"/>
        </w:rPr>
      </w:pPr>
      <w:r>
        <w:rPr>
          <w:rFonts w:asciiTheme="majorHAnsi" w:eastAsia="Calibri" w:hAnsiTheme="majorHAnsi" w:cs="Times New Roman"/>
          <w:sz w:val="24"/>
          <w:szCs w:val="24"/>
          <w:lang w:val="uz-Cyrl-UZ"/>
        </w:rPr>
        <w:t>R</w:t>
      </w:r>
      <w:r w:rsidR="00EE286E" w:rsidRPr="001C0271">
        <w:rPr>
          <w:rFonts w:asciiTheme="majorHAnsi" w:eastAsia="Calibri" w:hAnsiTheme="majorHAnsi" w:cs="Times New Roman"/>
          <w:sz w:val="24"/>
          <w:szCs w:val="24"/>
          <w:lang w:val="uz-Cyrl-UZ"/>
        </w:rPr>
        <w:t>umunsk</w:t>
      </w:r>
      <w:r>
        <w:rPr>
          <w:rFonts w:asciiTheme="majorHAnsi" w:eastAsia="Calibri" w:hAnsiTheme="majorHAnsi" w:cs="Times New Roman"/>
          <w:sz w:val="24"/>
          <w:szCs w:val="24"/>
          <w:lang w:val="uz-Cyrl-UZ"/>
        </w:rPr>
        <w:t>i</w:t>
      </w:r>
      <w:r w:rsidR="00EE286E" w:rsidRPr="001C0271">
        <w:rPr>
          <w:rFonts w:asciiTheme="majorHAnsi" w:eastAsia="Calibri" w:hAnsiTheme="majorHAnsi" w:cs="Times New Roman"/>
          <w:sz w:val="24"/>
          <w:szCs w:val="24"/>
          <w:lang w:val="uz-Cyrl-UZ"/>
        </w:rPr>
        <w:t xml:space="preserve"> novinar je osuđen za klevetu zbog članka u koj</w:t>
      </w:r>
      <w:r w:rsidR="00816F65" w:rsidRPr="001C0271">
        <w:rPr>
          <w:rFonts w:asciiTheme="majorHAnsi" w:eastAsia="Calibri" w:hAnsiTheme="majorHAnsi" w:cs="Times New Roman"/>
          <w:sz w:val="24"/>
          <w:szCs w:val="24"/>
          <w:lang w:val="uz-Cyrl-UZ"/>
        </w:rPr>
        <w:t xml:space="preserve">em je ispitivao </w:t>
      </w:r>
      <w:r w:rsidR="001140CB">
        <w:rPr>
          <w:rFonts w:asciiTheme="majorHAnsi" w:eastAsia="Calibri" w:hAnsiTheme="majorHAnsi" w:cs="Times New Roman"/>
          <w:sz w:val="24"/>
          <w:szCs w:val="24"/>
          <w:lang w:val="uz-Cyrl-UZ"/>
        </w:rPr>
        <w:t xml:space="preserve">aktivnosti </w:t>
      </w:r>
      <w:r w:rsidR="00EE286E" w:rsidRPr="001C0271">
        <w:rPr>
          <w:rFonts w:asciiTheme="majorHAnsi" w:eastAsia="Calibri" w:hAnsiTheme="majorHAnsi" w:cs="Times New Roman"/>
          <w:sz w:val="24"/>
          <w:szCs w:val="24"/>
          <w:lang w:val="uz-Cyrl-UZ"/>
        </w:rPr>
        <w:t>gradonačelnik</w:t>
      </w:r>
      <w:r w:rsidR="00816F65" w:rsidRPr="001C0271">
        <w:rPr>
          <w:rFonts w:asciiTheme="majorHAnsi" w:eastAsia="Calibri" w:hAnsiTheme="majorHAnsi" w:cs="Times New Roman"/>
          <w:sz w:val="24"/>
          <w:szCs w:val="24"/>
          <w:lang w:val="uz-Cyrl-UZ"/>
        </w:rPr>
        <w:t>a</w:t>
      </w:r>
      <w:r w:rsidR="00EE286E" w:rsidRPr="001C0271">
        <w:rPr>
          <w:rFonts w:asciiTheme="majorHAnsi" w:eastAsia="Calibri" w:hAnsiTheme="majorHAnsi" w:cs="Times New Roman"/>
          <w:sz w:val="24"/>
          <w:szCs w:val="24"/>
          <w:lang w:val="uz-Cyrl-UZ"/>
        </w:rPr>
        <w:t xml:space="preserve"> i pozvao </w:t>
      </w:r>
      <w:r w:rsidR="00816F65" w:rsidRPr="001C0271">
        <w:rPr>
          <w:rFonts w:asciiTheme="majorHAnsi" w:eastAsia="Calibri" w:hAnsiTheme="majorHAnsi" w:cs="Times New Roman"/>
          <w:sz w:val="24"/>
          <w:szCs w:val="24"/>
          <w:lang w:val="uz-Cyrl-UZ"/>
        </w:rPr>
        <w:t xml:space="preserve">ga da podnese </w:t>
      </w:r>
      <w:r w:rsidR="00EE286E" w:rsidRPr="001C0271">
        <w:rPr>
          <w:rFonts w:asciiTheme="majorHAnsi" w:eastAsia="Calibri" w:hAnsiTheme="majorHAnsi" w:cs="Times New Roman"/>
          <w:sz w:val="24"/>
          <w:szCs w:val="24"/>
          <w:lang w:val="uz-Cyrl-UZ"/>
        </w:rPr>
        <w:t xml:space="preserve">ostavku. </w:t>
      </w:r>
      <w:r w:rsidR="00816F65" w:rsidRPr="001C0271">
        <w:rPr>
          <w:rFonts w:asciiTheme="majorHAnsi" w:eastAsia="Calibri" w:hAnsiTheme="majorHAnsi" w:cs="Times New Roman"/>
          <w:sz w:val="24"/>
          <w:szCs w:val="24"/>
          <w:lang w:val="uz-Cyrl-UZ"/>
        </w:rPr>
        <w:t>Naslov članka je glasio „</w:t>
      </w:r>
      <w:r w:rsidR="00EE286E" w:rsidRPr="001C0271">
        <w:rPr>
          <w:rFonts w:asciiTheme="majorHAnsi" w:eastAsia="Calibri" w:hAnsiTheme="majorHAnsi" w:cs="Times New Roman"/>
          <w:sz w:val="24"/>
          <w:szCs w:val="24"/>
          <w:lang w:val="uz-Cyrl-UZ"/>
        </w:rPr>
        <w:t>Ostavka</w:t>
      </w:r>
      <w:r w:rsidR="00816F65" w:rsidRPr="001C0271">
        <w:rPr>
          <w:rFonts w:asciiTheme="majorHAnsi" w:eastAsia="Calibri" w:hAnsiTheme="majorHAnsi" w:cs="Times New Roman"/>
          <w:sz w:val="24"/>
          <w:szCs w:val="24"/>
          <w:lang w:val="uz-Cyrl-UZ"/>
        </w:rPr>
        <w:t xml:space="preserve"> iz časti“</w:t>
      </w:r>
      <w:r w:rsidR="00EE286E" w:rsidRPr="001C0271">
        <w:rPr>
          <w:rFonts w:asciiTheme="majorHAnsi" w:eastAsia="Calibri" w:hAnsiTheme="majorHAnsi" w:cs="Times New Roman"/>
          <w:sz w:val="24"/>
          <w:szCs w:val="24"/>
          <w:lang w:val="uz-Cyrl-UZ"/>
        </w:rPr>
        <w:t xml:space="preserve"> </w:t>
      </w:r>
      <w:r w:rsidR="00816F65" w:rsidRPr="001C0271">
        <w:rPr>
          <w:rFonts w:asciiTheme="majorHAnsi" w:eastAsia="Calibri" w:hAnsiTheme="majorHAnsi" w:cs="Times New Roman"/>
          <w:sz w:val="24"/>
          <w:szCs w:val="24"/>
          <w:lang w:val="uz-Cyrl-UZ"/>
        </w:rPr>
        <w:t xml:space="preserve">i u njemu je nabrojano </w:t>
      </w:r>
      <w:r w:rsidR="00EE286E" w:rsidRPr="001C0271">
        <w:rPr>
          <w:rFonts w:asciiTheme="majorHAnsi" w:eastAsia="Calibri" w:hAnsiTheme="majorHAnsi" w:cs="Times New Roman"/>
          <w:sz w:val="24"/>
          <w:szCs w:val="24"/>
          <w:lang w:val="uz-Cyrl-UZ"/>
        </w:rPr>
        <w:t>deset razloga z</w:t>
      </w:r>
      <w:r>
        <w:rPr>
          <w:rFonts w:asciiTheme="majorHAnsi" w:eastAsia="Calibri" w:hAnsiTheme="majorHAnsi" w:cs="Times New Roman"/>
          <w:sz w:val="24"/>
          <w:szCs w:val="24"/>
          <w:lang w:val="uz-Cyrl-UZ"/>
        </w:rPr>
        <w:t>bog kojih je</w:t>
      </w:r>
      <w:r w:rsidR="00EE286E" w:rsidRPr="001C0271">
        <w:rPr>
          <w:rFonts w:asciiTheme="majorHAnsi" w:eastAsia="Calibri" w:hAnsiTheme="majorHAnsi" w:cs="Times New Roman"/>
          <w:sz w:val="24"/>
          <w:szCs w:val="24"/>
          <w:lang w:val="uz-Cyrl-UZ"/>
        </w:rPr>
        <w:t xml:space="preserve"> gradonačelnik treba</w:t>
      </w:r>
      <w:r>
        <w:rPr>
          <w:rFonts w:asciiTheme="majorHAnsi" w:eastAsia="Calibri" w:hAnsiTheme="majorHAnsi" w:cs="Times New Roman"/>
          <w:sz w:val="24"/>
          <w:szCs w:val="24"/>
          <w:lang w:val="uz-Cyrl-UZ"/>
        </w:rPr>
        <w:t>lo</w:t>
      </w:r>
      <w:r w:rsidR="00EE286E" w:rsidRPr="001C0271">
        <w:rPr>
          <w:rFonts w:asciiTheme="majorHAnsi" w:eastAsia="Calibri" w:hAnsiTheme="majorHAnsi" w:cs="Times New Roman"/>
          <w:sz w:val="24"/>
          <w:szCs w:val="24"/>
          <w:lang w:val="uz-Cyrl-UZ"/>
        </w:rPr>
        <w:t xml:space="preserve"> da podnese ostavku. </w:t>
      </w:r>
      <w:r w:rsidR="00816F65" w:rsidRPr="001C0271">
        <w:rPr>
          <w:rFonts w:asciiTheme="majorHAnsi" w:eastAsia="Calibri" w:hAnsiTheme="majorHAnsi" w:cs="Times New Roman"/>
          <w:sz w:val="24"/>
          <w:szCs w:val="24"/>
          <w:lang w:val="uz-Cyrl-UZ"/>
        </w:rPr>
        <w:t>R</w:t>
      </w:r>
      <w:r w:rsidR="00EE286E" w:rsidRPr="001C0271">
        <w:rPr>
          <w:rFonts w:asciiTheme="majorHAnsi" w:eastAsia="Calibri" w:hAnsiTheme="majorHAnsi" w:cs="Times New Roman"/>
          <w:sz w:val="24"/>
          <w:szCs w:val="24"/>
          <w:lang w:val="uz-Cyrl-UZ"/>
        </w:rPr>
        <w:t>ad g</w:t>
      </w:r>
      <w:r w:rsidR="00816F65" w:rsidRPr="001C0271">
        <w:rPr>
          <w:rFonts w:asciiTheme="majorHAnsi" w:eastAsia="Calibri" w:hAnsiTheme="majorHAnsi" w:cs="Times New Roman"/>
          <w:sz w:val="24"/>
          <w:szCs w:val="24"/>
          <w:lang w:val="uz-Cyrl-UZ"/>
        </w:rPr>
        <w:t>radonačelnika je opisan rečenicama poput „</w:t>
      </w:r>
      <w:r w:rsidR="00EE286E" w:rsidRPr="001C0271">
        <w:rPr>
          <w:rFonts w:asciiTheme="majorHAnsi" w:eastAsia="Calibri" w:hAnsiTheme="majorHAnsi" w:cs="Times New Roman"/>
          <w:sz w:val="24"/>
          <w:szCs w:val="24"/>
          <w:lang w:val="uz-Cyrl-UZ"/>
        </w:rPr>
        <w:t xml:space="preserve">Dvadeset godina </w:t>
      </w:r>
      <w:r w:rsidR="00816F65" w:rsidRPr="001C0271">
        <w:rPr>
          <w:rFonts w:asciiTheme="majorHAnsi" w:eastAsia="Calibri" w:hAnsiTheme="majorHAnsi" w:cs="Times New Roman"/>
          <w:sz w:val="24"/>
          <w:szCs w:val="24"/>
          <w:lang w:val="uz-Cyrl-UZ"/>
        </w:rPr>
        <w:t>lokalne diktature“; „</w:t>
      </w:r>
      <w:r w:rsidR="00EE286E" w:rsidRPr="001C0271">
        <w:rPr>
          <w:rFonts w:asciiTheme="majorHAnsi" w:eastAsia="Calibri" w:hAnsiTheme="majorHAnsi" w:cs="Times New Roman"/>
          <w:sz w:val="24"/>
          <w:szCs w:val="24"/>
          <w:lang w:val="uz-Cyrl-UZ"/>
        </w:rPr>
        <w:t>[Grad</w:t>
      </w:r>
      <w:r w:rsidR="00816F65" w:rsidRPr="001C0271">
        <w:rPr>
          <w:rFonts w:asciiTheme="majorHAnsi" w:eastAsia="Calibri" w:hAnsiTheme="majorHAnsi" w:cs="Times New Roman"/>
          <w:sz w:val="24"/>
          <w:szCs w:val="24"/>
          <w:lang w:val="uz-Cyrl-UZ"/>
        </w:rPr>
        <w:t>onačelnik] na vrhu piramide zla“; „</w:t>
      </w:r>
      <w:r w:rsidR="00EE286E" w:rsidRPr="001C0271">
        <w:rPr>
          <w:rFonts w:asciiTheme="majorHAnsi" w:eastAsia="Calibri" w:hAnsiTheme="majorHAnsi" w:cs="Times New Roman"/>
          <w:sz w:val="24"/>
          <w:szCs w:val="24"/>
          <w:lang w:val="uz-Cyrl-UZ"/>
        </w:rPr>
        <w:t xml:space="preserve">U </w:t>
      </w:r>
      <w:r w:rsidR="00816F65" w:rsidRPr="001C0271">
        <w:rPr>
          <w:rFonts w:asciiTheme="majorHAnsi" w:eastAsia="Calibri" w:hAnsiTheme="majorHAnsi" w:cs="Times New Roman"/>
          <w:sz w:val="24"/>
          <w:szCs w:val="24"/>
          <w:lang w:val="uz-Cyrl-UZ"/>
        </w:rPr>
        <w:t>Paşcani</w:t>
      </w:r>
      <w:r w:rsidR="001140CB">
        <w:rPr>
          <w:rFonts w:asciiTheme="majorHAnsi" w:eastAsia="Calibri" w:hAnsiTheme="majorHAnsi" w:cs="Times New Roman"/>
          <w:sz w:val="24"/>
          <w:szCs w:val="24"/>
          <w:lang w:val="uz-Cyrl-UZ"/>
        </w:rPr>
        <w:t xml:space="preserve"> </w:t>
      </w:r>
      <w:r w:rsidR="001140CB" w:rsidRPr="001140CB">
        <w:rPr>
          <w:rFonts w:asciiTheme="majorHAnsi" w:eastAsia="Calibri" w:hAnsiTheme="majorHAnsi" w:cs="Times New Roman"/>
          <w:sz w:val="24"/>
          <w:szCs w:val="24"/>
          <w:lang w:val="uz-Cyrl-UZ"/>
        </w:rPr>
        <w:t>mogu da posluju</w:t>
      </w:r>
      <w:r w:rsidR="001F26DE" w:rsidRPr="001C0271">
        <w:rPr>
          <w:rFonts w:asciiTheme="majorHAnsi" w:eastAsia="Calibri" w:hAnsiTheme="majorHAnsi" w:cs="Times New Roman"/>
          <w:sz w:val="24"/>
          <w:szCs w:val="24"/>
          <w:lang w:val="uz-Cyrl-UZ"/>
        </w:rPr>
        <w:t xml:space="preserve"> </w:t>
      </w:r>
      <w:r w:rsidR="001F26DE" w:rsidRPr="001C0271">
        <w:rPr>
          <w:rFonts w:asciiTheme="majorHAnsi" w:eastAsia="Calibri" w:hAnsiTheme="majorHAnsi" w:cs="Times New Roman"/>
          <w:sz w:val="24"/>
          <w:szCs w:val="24"/>
          <w:lang w:val="uz-Cyrl-UZ"/>
        </w:rPr>
        <w:lastRenderedPageBreak/>
        <w:t xml:space="preserve">samo oni koji se priklone mafijaškom sistemu </w:t>
      </w:r>
      <w:r w:rsidR="00EE286E" w:rsidRPr="001C0271">
        <w:rPr>
          <w:rFonts w:asciiTheme="majorHAnsi" w:eastAsia="Calibri" w:hAnsiTheme="majorHAnsi" w:cs="Times New Roman"/>
          <w:sz w:val="24"/>
          <w:szCs w:val="24"/>
          <w:lang w:val="uz-Cyrl-UZ"/>
        </w:rPr>
        <w:t>[gradonačelnik]</w:t>
      </w:r>
      <w:r w:rsidR="00816F65" w:rsidRPr="001C0271">
        <w:rPr>
          <w:rFonts w:asciiTheme="majorHAnsi" w:eastAsia="Calibri" w:hAnsiTheme="majorHAnsi" w:cs="Times New Roman"/>
          <w:sz w:val="24"/>
          <w:szCs w:val="24"/>
          <w:lang w:val="uz-Cyrl-UZ"/>
        </w:rPr>
        <w:t>“; „</w:t>
      </w:r>
      <w:r w:rsidR="001140CB">
        <w:rPr>
          <w:rFonts w:asciiTheme="majorHAnsi" w:eastAsia="Calibri" w:hAnsiTheme="majorHAnsi" w:cs="Times New Roman"/>
          <w:sz w:val="24"/>
          <w:szCs w:val="24"/>
          <w:lang w:val="uz-Cyrl-UZ"/>
        </w:rPr>
        <w:t>V</w:t>
      </w:r>
      <w:r w:rsidR="00EE286E" w:rsidRPr="001C0271">
        <w:rPr>
          <w:rFonts w:asciiTheme="majorHAnsi" w:eastAsia="Calibri" w:hAnsiTheme="majorHAnsi" w:cs="Times New Roman"/>
          <w:sz w:val="24"/>
          <w:szCs w:val="24"/>
          <w:lang w:val="uz-Cyrl-UZ"/>
        </w:rPr>
        <w:t>eć više od dvadeset godina</w:t>
      </w:r>
      <w:r w:rsidR="001F26DE" w:rsidRPr="001C0271">
        <w:rPr>
          <w:rFonts w:asciiTheme="majorHAnsi" w:eastAsia="Calibri" w:hAnsiTheme="majorHAnsi" w:cs="Times New Roman"/>
          <w:sz w:val="24"/>
          <w:szCs w:val="24"/>
          <w:lang w:val="uz-Cyrl-UZ"/>
        </w:rPr>
        <w:t xml:space="preserve"> nama vlada bivši komunista</w:t>
      </w:r>
      <w:r w:rsidR="00EE286E" w:rsidRPr="001C0271">
        <w:rPr>
          <w:rFonts w:asciiTheme="majorHAnsi" w:eastAsia="Calibri" w:hAnsiTheme="majorHAnsi" w:cs="Times New Roman"/>
          <w:sz w:val="24"/>
          <w:szCs w:val="24"/>
          <w:lang w:val="uz-Cyrl-UZ"/>
        </w:rPr>
        <w:t xml:space="preserve"> koji i dalje ima reflekse </w:t>
      </w:r>
      <w:r w:rsidR="001F26DE" w:rsidRPr="001C0271">
        <w:rPr>
          <w:rFonts w:asciiTheme="majorHAnsi" w:eastAsia="Calibri" w:hAnsiTheme="majorHAnsi" w:cs="Times New Roman"/>
          <w:sz w:val="24"/>
          <w:szCs w:val="24"/>
          <w:lang w:val="uz-Cyrl-UZ"/>
        </w:rPr>
        <w:t xml:space="preserve">državnog </w:t>
      </w:r>
      <w:r w:rsidR="00EE286E" w:rsidRPr="001C0271">
        <w:rPr>
          <w:rFonts w:asciiTheme="majorHAnsi" w:eastAsia="Calibri" w:hAnsiTheme="majorHAnsi" w:cs="Times New Roman"/>
          <w:sz w:val="24"/>
          <w:szCs w:val="24"/>
          <w:lang w:val="uz-Cyrl-UZ"/>
        </w:rPr>
        <w:t>sekr</w:t>
      </w:r>
      <w:r w:rsidR="001140CB">
        <w:rPr>
          <w:rFonts w:asciiTheme="majorHAnsi" w:eastAsia="Calibri" w:hAnsiTheme="majorHAnsi" w:cs="Times New Roman"/>
          <w:sz w:val="24"/>
          <w:szCs w:val="24"/>
          <w:lang w:val="uz-Cyrl-UZ"/>
        </w:rPr>
        <w:t>etara“; i „[gradonačelnik] n</w:t>
      </w:r>
      <w:r w:rsidR="00816F65" w:rsidRPr="001C0271">
        <w:rPr>
          <w:rFonts w:asciiTheme="majorHAnsi" w:eastAsia="Calibri" w:hAnsiTheme="majorHAnsi" w:cs="Times New Roman"/>
          <w:sz w:val="24"/>
          <w:szCs w:val="24"/>
          <w:lang w:val="uz-Cyrl-UZ"/>
        </w:rPr>
        <w:t>e zastupa</w:t>
      </w:r>
      <w:r w:rsidR="00EE286E" w:rsidRPr="001C0271">
        <w:rPr>
          <w:rFonts w:asciiTheme="majorHAnsi" w:eastAsia="Calibri" w:hAnsiTheme="majorHAnsi" w:cs="Times New Roman"/>
          <w:sz w:val="24"/>
          <w:szCs w:val="24"/>
          <w:lang w:val="uz-Cyrl-UZ"/>
        </w:rPr>
        <w:t xml:space="preserve"> interese </w:t>
      </w:r>
      <w:r w:rsidR="00816F65" w:rsidRPr="001C0271">
        <w:rPr>
          <w:rFonts w:asciiTheme="majorHAnsi" w:eastAsia="Calibri" w:hAnsiTheme="majorHAnsi" w:cs="Times New Roman"/>
          <w:sz w:val="24"/>
          <w:szCs w:val="24"/>
          <w:lang w:val="uz-Cyrl-UZ"/>
        </w:rPr>
        <w:t>[</w:t>
      </w:r>
      <w:r w:rsidR="00EE286E" w:rsidRPr="001C0271">
        <w:rPr>
          <w:rFonts w:asciiTheme="majorHAnsi" w:eastAsia="Calibri" w:hAnsiTheme="majorHAnsi" w:cs="Times New Roman"/>
          <w:sz w:val="24"/>
          <w:szCs w:val="24"/>
          <w:lang w:val="uz-Cyrl-UZ"/>
        </w:rPr>
        <w:t>lokalne zajednice</w:t>
      </w:r>
      <w:r w:rsidR="00816F65" w:rsidRPr="001C0271">
        <w:rPr>
          <w:rFonts w:asciiTheme="majorHAnsi" w:eastAsia="Calibri" w:hAnsiTheme="majorHAnsi" w:cs="Times New Roman"/>
          <w:sz w:val="24"/>
          <w:szCs w:val="24"/>
          <w:lang w:val="uz-Cyrl-UZ"/>
        </w:rPr>
        <w:t>]“</w:t>
      </w:r>
      <w:r w:rsidR="00EE286E" w:rsidRPr="001C0271">
        <w:rPr>
          <w:rFonts w:asciiTheme="majorHAnsi" w:eastAsia="Calibri" w:hAnsiTheme="majorHAnsi" w:cs="Times New Roman"/>
          <w:sz w:val="24"/>
          <w:szCs w:val="24"/>
          <w:lang w:val="uz-Cyrl-UZ"/>
        </w:rPr>
        <w:t>. Na istoj strani, novinar je takođe napisao v</w:t>
      </w:r>
      <w:r w:rsidR="001F26DE" w:rsidRPr="001C0271">
        <w:rPr>
          <w:rFonts w:asciiTheme="majorHAnsi" w:eastAsia="Calibri" w:hAnsiTheme="majorHAnsi" w:cs="Times New Roman"/>
          <w:sz w:val="24"/>
          <w:szCs w:val="24"/>
          <w:lang w:val="uz-Cyrl-UZ"/>
        </w:rPr>
        <w:t>ijest o zvaničnoj</w:t>
      </w:r>
      <w:r w:rsidR="00EE286E" w:rsidRPr="001C0271">
        <w:rPr>
          <w:rFonts w:asciiTheme="majorHAnsi" w:eastAsia="Calibri" w:hAnsiTheme="majorHAnsi" w:cs="Times New Roman"/>
          <w:sz w:val="24"/>
          <w:szCs w:val="24"/>
          <w:lang w:val="uz-Cyrl-UZ"/>
        </w:rPr>
        <w:t xml:space="preserve"> istra</w:t>
      </w:r>
      <w:r w:rsidR="001F26DE" w:rsidRPr="001C0271">
        <w:rPr>
          <w:rFonts w:asciiTheme="majorHAnsi" w:eastAsia="Calibri" w:hAnsiTheme="majorHAnsi" w:cs="Times New Roman"/>
          <w:sz w:val="24"/>
          <w:szCs w:val="24"/>
          <w:lang w:val="uz-Cyrl-UZ"/>
        </w:rPr>
        <w:t>zi o</w:t>
      </w:r>
      <w:r w:rsidR="00EE286E" w:rsidRPr="001C0271">
        <w:rPr>
          <w:rFonts w:asciiTheme="majorHAnsi" w:eastAsia="Calibri" w:hAnsiTheme="majorHAnsi" w:cs="Times New Roman"/>
          <w:sz w:val="24"/>
          <w:szCs w:val="24"/>
          <w:lang w:val="uz-Cyrl-UZ"/>
        </w:rPr>
        <w:t xml:space="preserve"> aktivnosti</w:t>
      </w:r>
      <w:r w:rsidR="001F26DE" w:rsidRPr="001C0271">
        <w:rPr>
          <w:rFonts w:asciiTheme="majorHAnsi" w:eastAsia="Calibri" w:hAnsiTheme="majorHAnsi" w:cs="Times New Roman"/>
          <w:sz w:val="24"/>
          <w:szCs w:val="24"/>
          <w:lang w:val="uz-Cyrl-UZ"/>
        </w:rPr>
        <w:t>ma gradonačelnika. Ovaj članak je obuhvatao</w:t>
      </w:r>
      <w:r w:rsidR="00EE286E" w:rsidRPr="001C0271">
        <w:rPr>
          <w:rFonts w:asciiTheme="majorHAnsi" w:eastAsia="Calibri" w:hAnsiTheme="majorHAnsi" w:cs="Times New Roman"/>
          <w:sz w:val="24"/>
          <w:szCs w:val="24"/>
          <w:lang w:val="uz-Cyrl-UZ"/>
        </w:rPr>
        <w:t xml:space="preserve"> izjavu drugog političara, kao i </w:t>
      </w:r>
      <w:r w:rsidR="001F26DE" w:rsidRPr="001C0271">
        <w:rPr>
          <w:rFonts w:asciiTheme="majorHAnsi" w:eastAsia="Calibri" w:hAnsiTheme="majorHAnsi" w:cs="Times New Roman"/>
          <w:sz w:val="24"/>
          <w:szCs w:val="24"/>
          <w:lang w:val="uz-Cyrl-UZ"/>
        </w:rPr>
        <w:t xml:space="preserve">gradonačelnikov stav </w:t>
      </w:r>
      <w:r w:rsidR="00EE286E" w:rsidRPr="001C0271">
        <w:rPr>
          <w:rFonts w:asciiTheme="majorHAnsi" w:eastAsia="Calibri" w:hAnsiTheme="majorHAnsi" w:cs="Times New Roman"/>
          <w:sz w:val="24"/>
          <w:szCs w:val="24"/>
          <w:lang w:val="uz-Cyrl-UZ"/>
        </w:rPr>
        <w:t>o istrazi.</w:t>
      </w:r>
    </w:p>
    <w:p w:rsidR="001F26DE" w:rsidRPr="001C0271" w:rsidRDefault="001F26DE" w:rsidP="001479EE">
      <w:pPr>
        <w:spacing w:after="0"/>
        <w:jc w:val="both"/>
        <w:rPr>
          <w:rFonts w:asciiTheme="majorHAnsi" w:eastAsia="Calibri" w:hAnsiTheme="majorHAnsi" w:cs="Times New Roman"/>
          <w:sz w:val="24"/>
          <w:szCs w:val="24"/>
          <w:lang w:val="uz-Cyrl-UZ"/>
        </w:rPr>
      </w:pPr>
    </w:p>
    <w:p w:rsidR="001F26DE" w:rsidRPr="001C0271" w:rsidRDefault="005942A5" w:rsidP="001479EE">
      <w:pPr>
        <w:spacing w:after="0"/>
        <w:jc w:val="both"/>
        <w:rPr>
          <w:rFonts w:asciiTheme="majorHAnsi" w:eastAsia="Calibri" w:hAnsiTheme="majorHAnsi" w:cs="Times New Roman"/>
          <w:sz w:val="24"/>
          <w:szCs w:val="24"/>
          <w:lang w:val="uz-Cyrl-UZ"/>
        </w:rPr>
      </w:pPr>
      <w:r w:rsidRPr="001C0271">
        <w:rPr>
          <w:rFonts w:asciiTheme="majorHAnsi" w:eastAsia="Calibri" w:hAnsiTheme="majorHAnsi" w:cs="Times New Roman"/>
          <w:sz w:val="24"/>
          <w:szCs w:val="24"/>
          <w:lang w:val="uz-Cyrl-UZ"/>
        </w:rPr>
        <w:t xml:space="preserve">Evropski sud je smatrao da je krivičnom osudom zbog klevete povrijeđeno pravo novinara na slobodu izražavanja. Sud je napomenuo da se </w:t>
      </w:r>
      <w:r w:rsidR="00753737" w:rsidRPr="001C0271">
        <w:rPr>
          <w:rFonts w:asciiTheme="majorHAnsi" w:eastAsia="Calibri" w:hAnsiTheme="majorHAnsi" w:cs="Times New Roman"/>
          <w:sz w:val="24"/>
          <w:szCs w:val="24"/>
          <w:lang w:val="uz-Cyrl-UZ"/>
        </w:rPr>
        <w:t>slučaj ticao</w:t>
      </w:r>
      <w:r w:rsidRPr="001C0271">
        <w:rPr>
          <w:rFonts w:asciiTheme="majorHAnsi" w:eastAsia="Calibri" w:hAnsiTheme="majorHAnsi" w:cs="Times New Roman"/>
          <w:sz w:val="24"/>
          <w:szCs w:val="24"/>
          <w:lang w:val="uz-Cyrl-UZ"/>
        </w:rPr>
        <w:t xml:space="preserve"> pitanja od javnog interesa, odnosno aktivnosti gradonačelnika, javne ličnosti, </w:t>
      </w:r>
      <w:r w:rsidR="00753737" w:rsidRPr="001C0271">
        <w:rPr>
          <w:rFonts w:asciiTheme="majorHAnsi" w:eastAsia="Calibri" w:hAnsiTheme="majorHAnsi" w:cs="Times New Roman"/>
          <w:sz w:val="24"/>
          <w:szCs w:val="24"/>
          <w:lang w:val="uz-Cyrl-UZ"/>
        </w:rPr>
        <w:t xml:space="preserve">koje su se </w:t>
      </w:r>
      <w:r w:rsidRPr="001C0271">
        <w:rPr>
          <w:rFonts w:asciiTheme="majorHAnsi" w:eastAsia="Calibri" w:hAnsiTheme="majorHAnsi" w:cs="Times New Roman"/>
          <w:sz w:val="24"/>
          <w:szCs w:val="24"/>
          <w:lang w:val="uz-Cyrl-UZ"/>
        </w:rPr>
        <w:t xml:space="preserve">striktno </w:t>
      </w:r>
      <w:r w:rsidR="00753737" w:rsidRPr="001C0271">
        <w:rPr>
          <w:rFonts w:asciiTheme="majorHAnsi" w:eastAsia="Calibri" w:hAnsiTheme="majorHAnsi" w:cs="Times New Roman"/>
          <w:sz w:val="24"/>
          <w:szCs w:val="24"/>
          <w:lang w:val="uz-Cyrl-UZ"/>
        </w:rPr>
        <w:t>odnosile na njegov</w:t>
      </w:r>
      <w:r w:rsidR="0020773C">
        <w:rPr>
          <w:rFonts w:asciiTheme="majorHAnsi" w:eastAsia="Calibri" w:hAnsiTheme="majorHAnsi" w:cs="Times New Roman"/>
          <w:sz w:val="24"/>
          <w:szCs w:val="24"/>
          <w:lang w:val="uz-Cyrl-UZ"/>
        </w:rPr>
        <w:t xml:space="preserve">e postupke </w:t>
      </w:r>
      <w:r w:rsidR="00753737" w:rsidRPr="001C0271">
        <w:rPr>
          <w:rFonts w:asciiTheme="majorHAnsi" w:eastAsia="Calibri" w:hAnsiTheme="majorHAnsi" w:cs="Times New Roman"/>
          <w:sz w:val="24"/>
          <w:szCs w:val="24"/>
          <w:lang w:val="uz-Cyrl-UZ"/>
        </w:rPr>
        <w:t xml:space="preserve">u odnosu na službenu funkciju, a ne na </w:t>
      </w:r>
      <w:r w:rsidRPr="001C0271">
        <w:rPr>
          <w:rFonts w:asciiTheme="majorHAnsi" w:eastAsia="Calibri" w:hAnsiTheme="majorHAnsi" w:cs="Times New Roman"/>
          <w:sz w:val="24"/>
          <w:szCs w:val="24"/>
          <w:lang w:val="uz-Cyrl-UZ"/>
        </w:rPr>
        <w:t xml:space="preserve">njegov privatni život. </w:t>
      </w:r>
      <w:r w:rsidR="00753737" w:rsidRPr="001C0271">
        <w:rPr>
          <w:rFonts w:asciiTheme="majorHAnsi" w:eastAsia="Calibri" w:hAnsiTheme="majorHAnsi" w:cs="Times New Roman"/>
          <w:sz w:val="24"/>
          <w:szCs w:val="24"/>
          <w:lang w:val="uz-Cyrl-UZ"/>
        </w:rPr>
        <w:t xml:space="preserve">Sud </w:t>
      </w:r>
      <w:r w:rsidRPr="001C0271">
        <w:rPr>
          <w:rFonts w:asciiTheme="majorHAnsi" w:eastAsia="Calibri" w:hAnsiTheme="majorHAnsi" w:cs="Times New Roman"/>
          <w:sz w:val="24"/>
          <w:szCs w:val="24"/>
          <w:lang w:val="uz-Cyrl-UZ"/>
        </w:rPr>
        <w:t xml:space="preserve">je </w:t>
      </w:r>
      <w:r w:rsidR="00753737" w:rsidRPr="001C0271">
        <w:rPr>
          <w:rFonts w:asciiTheme="majorHAnsi" w:eastAsia="Calibri" w:hAnsiTheme="majorHAnsi" w:cs="Times New Roman"/>
          <w:sz w:val="24"/>
          <w:szCs w:val="24"/>
          <w:lang w:val="uz-Cyrl-UZ"/>
        </w:rPr>
        <w:t>primijetio i</w:t>
      </w:r>
      <w:r w:rsidRPr="001C0271">
        <w:rPr>
          <w:rFonts w:asciiTheme="majorHAnsi" w:eastAsia="Calibri" w:hAnsiTheme="majorHAnsi" w:cs="Times New Roman"/>
          <w:sz w:val="24"/>
          <w:szCs w:val="24"/>
          <w:lang w:val="uz-Cyrl-UZ"/>
        </w:rPr>
        <w:t xml:space="preserve"> da </w:t>
      </w:r>
      <w:r w:rsidR="00753737" w:rsidRPr="001C0271">
        <w:rPr>
          <w:rFonts w:asciiTheme="majorHAnsi" w:eastAsia="Calibri" w:hAnsiTheme="majorHAnsi" w:cs="Times New Roman"/>
          <w:sz w:val="24"/>
          <w:szCs w:val="24"/>
          <w:lang w:val="uz-Cyrl-UZ"/>
        </w:rPr>
        <w:t>domaći sudovi nisu napravili razliku</w:t>
      </w:r>
      <w:r w:rsidRPr="001C0271">
        <w:rPr>
          <w:rFonts w:asciiTheme="majorHAnsi" w:eastAsia="Calibri" w:hAnsiTheme="majorHAnsi" w:cs="Times New Roman"/>
          <w:sz w:val="24"/>
          <w:szCs w:val="24"/>
          <w:lang w:val="uz-Cyrl-UZ"/>
        </w:rPr>
        <w:t xml:space="preserve"> između d</w:t>
      </w:r>
      <w:r w:rsidR="00753737" w:rsidRPr="001C0271">
        <w:rPr>
          <w:rFonts w:asciiTheme="majorHAnsi" w:eastAsia="Calibri" w:hAnsiTheme="majorHAnsi" w:cs="Times New Roman"/>
          <w:sz w:val="24"/>
          <w:szCs w:val="24"/>
          <w:lang w:val="uz-Cyrl-UZ"/>
        </w:rPr>
        <w:t>j</w:t>
      </w:r>
      <w:r w:rsidRPr="001C0271">
        <w:rPr>
          <w:rFonts w:asciiTheme="majorHAnsi" w:eastAsia="Calibri" w:hAnsiTheme="majorHAnsi" w:cs="Times New Roman"/>
          <w:sz w:val="24"/>
          <w:szCs w:val="24"/>
          <w:lang w:val="uz-Cyrl-UZ"/>
        </w:rPr>
        <w:t>elov</w:t>
      </w:r>
      <w:r w:rsidR="00753737" w:rsidRPr="001C0271">
        <w:rPr>
          <w:rFonts w:asciiTheme="majorHAnsi" w:eastAsia="Calibri" w:hAnsiTheme="majorHAnsi" w:cs="Times New Roman"/>
          <w:sz w:val="24"/>
          <w:szCs w:val="24"/>
          <w:lang w:val="uz-Cyrl-UZ"/>
        </w:rPr>
        <w:t>a članka</w:t>
      </w:r>
      <w:r w:rsidRPr="001C0271">
        <w:rPr>
          <w:rFonts w:asciiTheme="majorHAnsi" w:eastAsia="Calibri" w:hAnsiTheme="majorHAnsi" w:cs="Times New Roman"/>
          <w:sz w:val="24"/>
          <w:szCs w:val="24"/>
          <w:lang w:val="uz-Cyrl-UZ"/>
        </w:rPr>
        <w:t xml:space="preserve"> koji su </w:t>
      </w:r>
      <w:r w:rsidR="00753737" w:rsidRPr="001C0271">
        <w:rPr>
          <w:rFonts w:asciiTheme="majorHAnsi" w:eastAsia="Calibri" w:hAnsiTheme="majorHAnsi" w:cs="Times New Roman"/>
          <w:sz w:val="24"/>
          <w:szCs w:val="24"/>
          <w:lang w:val="uz-Cyrl-UZ"/>
        </w:rPr>
        <w:t xml:space="preserve">predstavljali činjenice </w:t>
      </w:r>
      <w:r w:rsidRPr="001C0271">
        <w:rPr>
          <w:rFonts w:asciiTheme="majorHAnsi" w:eastAsia="Calibri" w:hAnsiTheme="majorHAnsi" w:cs="Times New Roman"/>
          <w:sz w:val="24"/>
          <w:szCs w:val="24"/>
          <w:lang w:val="uz-Cyrl-UZ"/>
        </w:rPr>
        <w:t>i drugih d</w:t>
      </w:r>
      <w:r w:rsidR="00753737" w:rsidRPr="001C0271">
        <w:rPr>
          <w:rFonts w:asciiTheme="majorHAnsi" w:eastAsia="Calibri" w:hAnsiTheme="majorHAnsi" w:cs="Times New Roman"/>
          <w:sz w:val="24"/>
          <w:szCs w:val="24"/>
          <w:lang w:val="uz-Cyrl-UZ"/>
        </w:rPr>
        <w:t>j</w:t>
      </w:r>
      <w:r w:rsidRPr="001C0271">
        <w:rPr>
          <w:rFonts w:asciiTheme="majorHAnsi" w:eastAsia="Calibri" w:hAnsiTheme="majorHAnsi" w:cs="Times New Roman"/>
          <w:sz w:val="24"/>
          <w:szCs w:val="24"/>
          <w:lang w:val="uz-Cyrl-UZ"/>
        </w:rPr>
        <w:t>elova koji</w:t>
      </w:r>
      <w:r w:rsidR="00B96414" w:rsidRPr="001C0271">
        <w:rPr>
          <w:rFonts w:asciiTheme="majorHAnsi" w:eastAsia="Calibri" w:hAnsiTheme="majorHAnsi" w:cs="Times New Roman"/>
          <w:sz w:val="24"/>
          <w:szCs w:val="24"/>
          <w:lang w:val="uz-Cyrl-UZ"/>
        </w:rPr>
        <w:t xml:space="preserve"> </w:t>
      </w:r>
      <w:r w:rsidR="00753737" w:rsidRPr="001C0271">
        <w:rPr>
          <w:rFonts w:asciiTheme="majorHAnsi" w:eastAsia="Calibri" w:hAnsiTheme="majorHAnsi" w:cs="Times New Roman"/>
          <w:sz w:val="24"/>
          <w:szCs w:val="24"/>
          <w:lang w:val="uz-Cyrl-UZ"/>
        </w:rPr>
        <w:t>su predstavljali mišljenje novinara</w:t>
      </w:r>
      <w:r w:rsidRPr="001C0271">
        <w:rPr>
          <w:rFonts w:asciiTheme="majorHAnsi" w:eastAsia="Calibri" w:hAnsiTheme="majorHAnsi" w:cs="Times New Roman"/>
          <w:sz w:val="24"/>
          <w:szCs w:val="24"/>
          <w:lang w:val="uz-Cyrl-UZ"/>
        </w:rPr>
        <w:t>, što je važ</w:t>
      </w:r>
      <w:r w:rsidR="00B96414" w:rsidRPr="001C0271">
        <w:rPr>
          <w:rFonts w:asciiTheme="majorHAnsi" w:eastAsia="Calibri" w:hAnsiTheme="majorHAnsi" w:cs="Times New Roman"/>
          <w:sz w:val="24"/>
          <w:szCs w:val="24"/>
          <w:lang w:val="uz-Cyrl-UZ"/>
        </w:rPr>
        <w:t>no u slučajevima klevete (istinitost se može utvr</w:t>
      </w:r>
      <w:r w:rsidR="00052A91">
        <w:rPr>
          <w:rFonts w:asciiTheme="majorHAnsi" w:eastAsia="Calibri" w:hAnsiTheme="majorHAnsi" w:cs="Times New Roman"/>
          <w:sz w:val="24"/>
          <w:szCs w:val="24"/>
          <w:lang w:val="uz-Cyrl-UZ"/>
        </w:rPr>
        <w:t>đivati</w:t>
      </w:r>
      <w:r w:rsidR="00B96414" w:rsidRPr="001C0271">
        <w:rPr>
          <w:rFonts w:asciiTheme="majorHAnsi" w:eastAsia="Calibri" w:hAnsiTheme="majorHAnsi" w:cs="Times New Roman"/>
          <w:sz w:val="24"/>
          <w:szCs w:val="24"/>
          <w:lang w:val="uz-Cyrl-UZ"/>
        </w:rPr>
        <w:t xml:space="preserve"> u izjavama koje sadrže činjenice, ali ne i onima koje predstavljaju lično mišljenje</w:t>
      </w:r>
      <w:r w:rsidRPr="001C0271">
        <w:rPr>
          <w:rFonts w:asciiTheme="majorHAnsi" w:eastAsia="Calibri" w:hAnsiTheme="majorHAnsi" w:cs="Times New Roman"/>
          <w:sz w:val="24"/>
          <w:szCs w:val="24"/>
          <w:lang w:val="uz-Cyrl-UZ"/>
        </w:rPr>
        <w:t xml:space="preserve">). Sud je </w:t>
      </w:r>
      <w:r w:rsidR="00B96414" w:rsidRPr="001C0271">
        <w:rPr>
          <w:rFonts w:asciiTheme="majorHAnsi" w:eastAsia="Calibri" w:hAnsiTheme="majorHAnsi" w:cs="Times New Roman"/>
          <w:sz w:val="24"/>
          <w:szCs w:val="24"/>
          <w:lang w:val="uz-Cyrl-UZ"/>
        </w:rPr>
        <w:t xml:space="preserve">takođe </w:t>
      </w:r>
      <w:r w:rsidRPr="001C0271">
        <w:rPr>
          <w:rFonts w:asciiTheme="majorHAnsi" w:eastAsia="Calibri" w:hAnsiTheme="majorHAnsi" w:cs="Times New Roman"/>
          <w:sz w:val="24"/>
          <w:szCs w:val="24"/>
          <w:lang w:val="uz-Cyrl-UZ"/>
        </w:rPr>
        <w:t xml:space="preserve">uzeo u obzir da </w:t>
      </w:r>
      <w:r w:rsidR="00B96414" w:rsidRPr="001C0271">
        <w:rPr>
          <w:rFonts w:asciiTheme="majorHAnsi" w:eastAsia="Calibri" w:hAnsiTheme="majorHAnsi" w:cs="Times New Roman"/>
          <w:sz w:val="24"/>
          <w:szCs w:val="24"/>
          <w:lang w:val="uz-Cyrl-UZ"/>
        </w:rPr>
        <w:t xml:space="preserve">se </w:t>
      </w:r>
      <w:r w:rsidRPr="001C0271">
        <w:rPr>
          <w:rFonts w:asciiTheme="majorHAnsi" w:eastAsia="Calibri" w:hAnsiTheme="majorHAnsi" w:cs="Times New Roman"/>
          <w:sz w:val="24"/>
          <w:szCs w:val="24"/>
          <w:lang w:val="uz-Cyrl-UZ"/>
        </w:rPr>
        <w:t>novinar</w:t>
      </w:r>
      <w:r w:rsidR="00B96414" w:rsidRPr="001C0271">
        <w:rPr>
          <w:rFonts w:asciiTheme="majorHAnsi" w:eastAsia="Calibri" w:hAnsiTheme="majorHAnsi" w:cs="Times New Roman"/>
          <w:sz w:val="24"/>
          <w:szCs w:val="24"/>
          <w:lang w:val="uz-Cyrl-UZ"/>
        </w:rPr>
        <w:t xml:space="preserve"> nije oslanjao na zvanične</w:t>
      </w:r>
      <w:r w:rsidRPr="001C0271">
        <w:rPr>
          <w:rFonts w:asciiTheme="majorHAnsi" w:eastAsia="Calibri" w:hAnsiTheme="majorHAnsi" w:cs="Times New Roman"/>
          <w:sz w:val="24"/>
          <w:szCs w:val="24"/>
          <w:lang w:val="uz-Cyrl-UZ"/>
        </w:rPr>
        <w:t xml:space="preserve"> izv</w:t>
      </w:r>
      <w:r w:rsidR="00B96414" w:rsidRPr="001C0271">
        <w:rPr>
          <w:rFonts w:asciiTheme="majorHAnsi" w:eastAsia="Calibri" w:hAnsiTheme="majorHAnsi" w:cs="Times New Roman"/>
          <w:sz w:val="24"/>
          <w:szCs w:val="24"/>
          <w:lang w:val="uz-Cyrl-UZ"/>
        </w:rPr>
        <w:t>ještaje</w:t>
      </w:r>
      <w:r w:rsidRPr="001C0271">
        <w:rPr>
          <w:rFonts w:asciiTheme="majorHAnsi" w:eastAsia="Calibri" w:hAnsiTheme="majorHAnsi" w:cs="Times New Roman"/>
          <w:sz w:val="24"/>
          <w:szCs w:val="24"/>
          <w:lang w:val="uz-Cyrl-UZ"/>
        </w:rPr>
        <w:t xml:space="preserve"> </w:t>
      </w:r>
      <w:r w:rsidR="00B96414" w:rsidRPr="001C0271">
        <w:rPr>
          <w:rFonts w:asciiTheme="majorHAnsi" w:eastAsia="Calibri" w:hAnsiTheme="majorHAnsi" w:cs="Times New Roman"/>
          <w:sz w:val="24"/>
          <w:szCs w:val="24"/>
          <w:lang w:val="uz-Cyrl-UZ"/>
        </w:rPr>
        <w:t xml:space="preserve">u kojima su otkrivene </w:t>
      </w:r>
      <w:r w:rsidRPr="001C0271">
        <w:rPr>
          <w:rFonts w:asciiTheme="majorHAnsi" w:eastAsia="Calibri" w:hAnsiTheme="majorHAnsi" w:cs="Times New Roman"/>
          <w:sz w:val="24"/>
          <w:szCs w:val="24"/>
          <w:lang w:val="uz-Cyrl-UZ"/>
        </w:rPr>
        <w:t>nepraviln</w:t>
      </w:r>
      <w:r w:rsidR="00B96414" w:rsidRPr="001C0271">
        <w:rPr>
          <w:rFonts w:asciiTheme="majorHAnsi" w:eastAsia="Calibri" w:hAnsiTheme="majorHAnsi" w:cs="Times New Roman"/>
          <w:sz w:val="24"/>
          <w:szCs w:val="24"/>
          <w:lang w:val="uz-Cyrl-UZ"/>
        </w:rPr>
        <w:t>osti u lokalnoj</w:t>
      </w:r>
      <w:r w:rsidR="0020773C">
        <w:rPr>
          <w:rFonts w:asciiTheme="majorHAnsi" w:eastAsia="Calibri" w:hAnsiTheme="majorHAnsi" w:cs="Times New Roman"/>
          <w:sz w:val="24"/>
          <w:szCs w:val="24"/>
          <w:lang w:val="uz-Cyrl-UZ"/>
        </w:rPr>
        <w:t xml:space="preserve"> upravi</w:t>
      </w:r>
      <w:r w:rsidR="00B96414" w:rsidRPr="001C0271">
        <w:rPr>
          <w:rFonts w:asciiTheme="majorHAnsi" w:eastAsia="Calibri" w:hAnsiTheme="majorHAnsi" w:cs="Times New Roman"/>
          <w:sz w:val="24"/>
          <w:szCs w:val="24"/>
          <w:lang w:val="uz-Cyrl-UZ"/>
        </w:rPr>
        <w:t xml:space="preserve">, a koji </w:t>
      </w:r>
      <w:r w:rsidR="0020773C">
        <w:rPr>
          <w:rFonts w:asciiTheme="majorHAnsi" w:eastAsia="Calibri" w:hAnsiTheme="majorHAnsi" w:cs="Times New Roman"/>
          <w:sz w:val="24"/>
          <w:szCs w:val="24"/>
          <w:lang w:val="uz-Cyrl-UZ"/>
        </w:rPr>
        <w:t>su trebali predstavljati razuman</w:t>
      </w:r>
      <w:r w:rsidR="00B96414" w:rsidRPr="001C0271">
        <w:rPr>
          <w:rFonts w:asciiTheme="majorHAnsi" w:eastAsia="Calibri" w:hAnsiTheme="majorHAnsi" w:cs="Times New Roman"/>
          <w:sz w:val="24"/>
          <w:szCs w:val="24"/>
          <w:lang w:val="uz-Cyrl-UZ"/>
        </w:rPr>
        <w:t xml:space="preserve"> osnov za navode koje je novinar iznio. </w:t>
      </w:r>
      <w:r w:rsidRPr="001C0271">
        <w:rPr>
          <w:rFonts w:asciiTheme="majorHAnsi" w:eastAsia="Calibri" w:hAnsiTheme="majorHAnsi" w:cs="Times New Roman"/>
          <w:sz w:val="24"/>
          <w:szCs w:val="24"/>
          <w:lang w:val="uz-Cyrl-UZ"/>
        </w:rPr>
        <w:t>Sud je konstatovao da</w:t>
      </w:r>
      <w:r w:rsidR="0020773C">
        <w:rPr>
          <w:rFonts w:asciiTheme="majorHAnsi" w:eastAsia="Calibri" w:hAnsiTheme="majorHAnsi" w:cs="Times New Roman"/>
          <w:sz w:val="24"/>
          <w:szCs w:val="24"/>
          <w:lang w:val="uz-Cyrl-UZ"/>
        </w:rPr>
        <w:t>,</w:t>
      </w:r>
      <w:r w:rsidRPr="001C0271">
        <w:rPr>
          <w:rFonts w:asciiTheme="majorHAnsi" w:eastAsia="Calibri" w:hAnsiTheme="majorHAnsi" w:cs="Times New Roman"/>
          <w:sz w:val="24"/>
          <w:szCs w:val="24"/>
          <w:lang w:val="uz-Cyrl-UZ"/>
        </w:rPr>
        <w:t xml:space="preserve"> iako</w:t>
      </w:r>
      <w:r w:rsidR="00B96414" w:rsidRPr="001C0271">
        <w:rPr>
          <w:rFonts w:asciiTheme="majorHAnsi" w:eastAsia="Calibri" w:hAnsiTheme="majorHAnsi" w:cs="Times New Roman"/>
          <w:sz w:val="24"/>
          <w:szCs w:val="24"/>
          <w:lang w:val="uz-Cyrl-UZ"/>
        </w:rPr>
        <w:t xml:space="preserve"> su</w:t>
      </w:r>
      <w:r w:rsidRPr="001C0271">
        <w:rPr>
          <w:rFonts w:asciiTheme="majorHAnsi" w:eastAsia="Calibri" w:hAnsiTheme="majorHAnsi" w:cs="Times New Roman"/>
          <w:sz w:val="24"/>
          <w:szCs w:val="24"/>
          <w:lang w:val="uz-Cyrl-UZ"/>
        </w:rPr>
        <w:t xml:space="preserve"> neke od izjava u članku bil</w:t>
      </w:r>
      <w:r w:rsidR="00B96414" w:rsidRPr="001C0271">
        <w:rPr>
          <w:rFonts w:asciiTheme="majorHAnsi" w:eastAsia="Calibri" w:hAnsiTheme="majorHAnsi" w:cs="Times New Roman"/>
          <w:sz w:val="24"/>
          <w:szCs w:val="24"/>
          <w:lang w:val="uz-Cyrl-UZ"/>
        </w:rPr>
        <w:t>e provokativne</w:t>
      </w:r>
      <w:r w:rsidRPr="001C0271">
        <w:rPr>
          <w:rFonts w:asciiTheme="majorHAnsi" w:eastAsia="Calibri" w:hAnsiTheme="majorHAnsi" w:cs="Times New Roman"/>
          <w:sz w:val="24"/>
          <w:szCs w:val="24"/>
          <w:lang w:val="uz-Cyrl-UZ"/>
        </w:rPr>
        <w:t xml:space="preserve">, </w:t>
      </w:r>
      <w:r w:rsidR="00B96414" w:rsidRPr="001C0271">
        <w:rPr>
          <w:rFonts w:asciiTheme="majorHAnsi" w:eastAsia="Calibri" w:hAnsiTheme="majorHAnsi" w:cs="Times New Roman"/>
          <w:sz w:val="24"/>
          <w:szCs w:val="24"/>
          <w:lang w:val="uz-Cyrl-UZ"/>
        </w:rPr>
        <w:t xml:space="preserve">nijesu bile </w:t>
      </w:r>
      <w:r w:rsidR="0020773C">
        <w:rPr>
          <w:rFonts w:asciiTheme="majorHAnsi" w:eastAsia="Calibri" w:hAnsiTheme="majorHAnsi" w:cs="Times New Roman"/>
          <w:sz w:val="24"/>
          <w:szCs w:val="24"/>
          <w:lang w:val="uz-Cyrl-UZ"/>
        </w:rPr>
        <w:t>„</w:t>
      </w:r>
      <w:r w:rsidR="00B96414" w:rsidRPr="001C0271">
        <w:rPr>
          <w:rFonts w:asciiTheme="majorHAnsi" w:eastAsia="Calibri" w:hAnsiTheme="majorHAnsi" w:cs="Times New Roman"/>
          <w:sz w:val="24"/>
          <w:szCs w:val="24"/>
          <w:lang w:val="uz-Cyrl-UZ"/>
        </w:rPr>
        <w:t>naročito pretjerane</w:t>
      </w:r>
      <w:r w:rsidR="0020773C">
        <w:rPr>
          <w:rFonts w:asciiTheme="majorHAnsi" w:eastAsia="Calibri" w:hAnsiTheme="majorHAnsi" w:cs="Times New Roman"/>
          <w:sz w:val="24"/>
          <w:szCs w:val="24"/>
          <w:lang w:val="uz-Cyrl-UZ"/>
        </w:rPr>
        <w:t>“</w:t>
      </w:r>
      <w:r w:rsidRPr="001C0271">
        <w:rPr>
          <w:rFonts w:asciiTheme="majorHAnsi" w:eastAsia="Calibri" w:hAnsiTheme="majorHAnsi" w:cs="Times New Roman"/>
          <w:sz w:val="24"/>
          <w:szCs w:val="24"/>
          <w:lang w:val="uz-Cyrl-UZ"/>
        </w:rPr>
        <w:t xml:space="preserve">. Sud je takođe naveo da činjenica da je novinar bio </w:t>
      </w:r>
      <w:r w:rsidR="000E661F" w:rsidRPr="001C0271">
        <w:rPr>
          <w:rFonts w:asciiTheme="majorHAnsi" w:eastAsia="Calibri" w:hAnsiTheme="majorHAnsi" w:cs="Times New Roman"/>
          <w:sz w:val="24"/>
          <w:szCs w:val="24"/>
          <w:lang w:val="uz-Cyrl-UZ"/>
        </w:rPr>
        <w:t>osuđen za klevetu u prošlosti nije</w:t>
      </w:r>
      <w:r w:rsidRPr="001C0271">
        <w:rPr>
          <w:rFonts w:asciiTheme="majorHAnsi" w:eastAsia="Calibri" w:hAnsiTheme="majorHAnsi" w:cs="Times New Roman"/>
          <w:sz w:val="24"/>
          <w:szCs w:val="24"/>
          <w:lang w:val="uz-Cyrl-UZ"/>
        </w:rPr>
        <w:t xml:space="preserve"> znači</w:t>
      </w:r>
      <w:r w:rsidR="000E661F" w:rsidRPr="001C0271">
        <w:rPr>
          <w:rFonts w:asciiTheme="majorHAnsi" w:eastAsia="Calibri" w:hAnsiTheme="majorHAnsi" w:cs="Times New Roman"/>
          <w:sz w:val="24"/>
          <w:szCs w:val="24"/>
          <w:lang w:val="uz-Cyrl-UZ"/>
        </w:rPr>
        <w:t>la</w:t>
      </w:r>
      <w:r w:rsidRPr="001C0271">
        <w:rPr>
          <w:rFonts w:asciiTheme="majorHAnsi" w:eastAsia="Calibri" w:hAnsiTheme="majorHAnsi" w:cs="Times New Roman"/>
          <w:sz w:val="24"/>
          <w:szCs w:val="24"/>
          <w:lang w:val="uz-Cyrl-UZ"/>
        </w:rPr>
        <w:t xml:space="preserve"> da on nije </w:t>
      </w:r>
      <w:r w:rsidR="0020773C">
        <w:rPr>
          <w:rFonts w:asciiTheme="majorHAnsi" w:eastAsia="Calibri" w:hAnsiTheme="majorHAnsi" w:cs="Times New Roman"/>
          <w:sz w:val="24"/>
          <w:szCs w:val="24"/>
          <w:lang w:val="uz-Cyrl-UZ"/>
        </w:rPr>
        <w:t>postupao „</w:t>
      </w:r>
      <w:r w:rsidR="000E661F" w:rsidRPr="001C0271">
        <w:rPr>
          <w:rFonts w:asciiTheme="majorHAnsi" w:eastAsia="Calibri" w:hAnsiTheme="majorHAnsi" w:cs="Times New Roman"/>
          <w:sz w:val="24"/>
          <w:szCs w:val="24"/>
          <w:lang w:val="uz-Cyrl-UZ"/>
        </w:rPr>
        <w:t>dobronamjerno</w:t>
      </w:r>
      <w:r w:rsidR="0020773C">
        <w:rPr>
          <w:rFonts w:asciiTheme="majorHAnsi" w:eastAsia="Calibri" w:hAnsiTheme="majorHAnsi" w:cs="Times New Roman"/>
          <w:sz w:val="24"/>
          <w:szCs w:val="24"/>
          <w:lang w:val="uz-Cyrl-UZ"/>
        </w:rPr>
        <w:t>“</w:t>
      </w:r>
      <w:r w:rsidRPr="001C0271">
        <w:rPr>
          <w:rFonts w:asciiTheme="majorHAnsi" w:eastAsia="Calibri" w:hAnsiTheme="majorHAnsi" w:cs="Times New Roman"/>
          <w:sz w:val="24"/>
          <w:szCs w:val="24"/>
          <w:lang w:val="uz-Cyrl-UZ"/>
        </w:rPr>
        <w:t xml:space="preserve"> u ovom slučaju. Konačno, </w:t>
      </w:r>
      <w:r w:rsidR="00052A91">
        <w:rPr>
          <w:rFonts w:asciiTheme="majorHAnsi" w:eastAsia="Calibri" w:hAnsiTheme="majorHAnsi" w:cs="Times New Roman"/>
          <w:sz w:val="24"/>
          <w:szCs w:val="24"/>
          <w:lang w:val="uz-Cyrl-UZ"/>
        </w:rPr>
        <w:t xml:space="preserve">za </w:t>
      </w:r>
      <w:r w:rsidRPr="001C0271">
        <w:rPr>
          <w:rFonts w:asciiTheme="majorHAnsi" w:eastAsia="Calibri" w:hAnsiTheme="majorHAnsi" w:cs="Times New Roman"/>
          <w:sz w:val="24"/>
          <w:szCs w:val="24"/>
          <w:lang w:val="uz-Cyrl-UZ"/>
        </w:rPr>
        <w:t>Sud je</w:t>
      </w:r>
      <w:r w:rsidR="00052A91">
        <w:rPr>
          <w:rFonts w:asciiTheme="majorHAnsi" w:eastAsia="Calibri" w:hAnsiTheme="majorHAnsi" w:cs="Times New Roman"/>
          <w:sz w:val="24"/>
          <w:szCs w:val="24"/>
          <w:lang w:val="uz-Cyrl-UZ"/>
        </w:rPr>
        <w:t xml:space="preserve"> bilo</w:t>
      </w:r>
      <w:r w:rsidRPr="001C0271">
        <w:rPr>
          <w:rFonts w:asciiTheme="majorHAnsi" w:eastAsia="Calibri" w:hAnsiTheme="majorHAnsi" w:cs="Times New Roman"/>
          <w:sz w:val="24"/>
          <w:szCs w:val="24"/>
          <w:lang w:val="uz-Cyrl-UZ"/>
        </w:rPr>
        <w:t xml:space="preserve"> </w:t>
      </w:r>
      <w:r w:rsidR="00802AF1" w:rsidRPr="001C0271">
        <w:rPr>
          <w:rFonts w:asciiTheme="majorHAnsi" w:eastAsia="Calibri" w:hAnsiTheme="majorHAnsi" w:cs="Times New Roman"/>
          <w:sz w:val="24"/>
          <w:szCs w:val="24"/>
          <w:lang w:val="uz-Cyrl-UZ"/>
        </w:rPr>
        <w:t>bitn</w:t>
      </w:r>
      <w:r w:rsidR="00052A91">
        <w:rPr>
          <w:rFonts w:asciiTheme="majorHAnsi" w:eastAsia="Calibri" w:hAnsiTheme="majorHAnsi" w:cs="Times New Roman"/>
          <w:sz w:val="24"/>
          <w:szCs w:val="24"/>
          <w:lang w:val="uz-Cyrl-UZ"/>
        </w:rPr>
        <w:t>o i to</w:t>
      </w:r>
      <w:r w:rsidR="00802AF1" w:rsidRPr="001C0271">
        <w:rPr>
          <w:rFonts w:asciiTheme="majorHAnsi" w:eastAsia="Calibri" w:hAnsiTheme="majorHAnsi" w:cs="Times New Roman"/>
          <w:sz w:val="24"/>
          <w:szCs w:val="24"/>
          <w:lang w:val="uz-Cyrl-UZ"/>
        </w:rPr>
        <w:t xml:space="preserve"> </w:t>
      </w:r>
      <w:r w:rsidRPr="001C0271">
        <w:rPr>
          <w:rFonts w:asciiTheme="majorHAnsi" w:eastAsia="Calibri" w:hAnsiTheme="majorHAnsi" w:cs="Times New Roman"/>
          <w:sz w:val="24"/>
          <w:szCs w:val="24"/>
          <w:lang w:val="uz-Cyrl-UZ"/>
        </w:rPr>
        <w:t>da je osuda znači</w:t>
      </w:r>
      <w:r w:rsidR="00802AF1" w:rsidRPr="001C0271">
        <w:rPr>
          <w:rFonts w:asciiTheme="majorHAnsi" w:eastAsia="Calibri" w:hAnsiTheme="majorHAnsi" w:cs="Times New Roman"/>
          <w:sz w:val="24"/>
          <w:szCs w:val="24"/>
          <w:lang w:val="uz-Cyrl-UZ"/>
        </w:rPr>
        <w:t>la da je</w:t>
      </w:r>
      <w:r w:rsidRPr="001C0271">
        <w:rPr>
          <w:rFonts w:asciiTheme="majorHAnsi" w:eastAsia="Calibri" w:hAnsiTheme="majorHAnsi" w:cs="Times New Roman"/>
          <w:sz w:val="24"/>
          <w:szCs w:val="24"/>
          <w:lang w:val="uz-Cyrl-UZ"/>
        </w:rPr>
        <w:t xml:space="preserve"> novinar </w:t>
      </w:r>
      <w:r w:rsidR="00052A91">
        <w:rPr>
          <w:rFonts w:asciiTheme="majorHAnsi" w:eastAsia="Calibri" w:hAnsiTheme="majorHAnsi" w:cs="Times New Roman"/>
          <w:sz w:val="24"/>
          <w:szCs w:val="24"/>
          <w:lang w:val="uz-Cyrl-UZ"/>
        </w:rPr>
        <w:t>stek</w:t>
      </w:r>
      <w:r w:rsidRPr="001C0271">
        <w:rPr>
          <w:rFonts w:asciiTheme="majorHAnsi" w:eastAsia="Calibri" w:hAnsiTheme="majorHAnsi" w:cs="Times New Roman"/>
          <w:sz w:val="24"/>
          <w:szCs w:val="24"/>
          <w:lang w:val="uz-Cyrl-UZ"/>
        </w:rPr>
        <w:t>ao kriminalni dosije</w:t>
      </w:r>
      <w:r w:rsidR="00802AF1" w:rsidRPr="001C0271">
        <w:rPr>
          <w:rFonts w:asciiTheme="majorHAnsi" w:eastAsia="Calibri" w:hAnsiTheme="majorHAnsi" w:cs="Times New Roman"/>
          <w:sz w:val="24"/>
          <w:szCs w:val="24"/>
          <w:lang w:val="uz-Cyrl-UZ"/>
        </w:rPr>
        <w:t>, kao i</w:t>
      </w:r>
      <w:r w:rsidRPr="001C0271">
        <w:rPr>
          <w:rFonts w:asciiTheme="majorHAnsi" w:eastAsia="Calibri" w:hAnsiTheme="majorHAnsi" w:cs="Times New Roman"/>
          <w:sz w:val="24"/>
          <w:szCs w:val="24"/>
          <w:lang w:val="uz-Cyrl-UZ"/>
        </w:rPr>
        <w:t xml:space="preserve"> </w:t>
      </w:r>
      <w:r w:rsidR="00052A91">
        <w:rPr>
          <w:rFonts w:asciiTheme="majorHAnsi" w:eastAsia="Calibri" w:hAnsiTheme="majorHAnsi" w:cs="Times New Roman"/>
          <w:sz w:val="24"/>
          <w:szCs w:val="24"/>
          <w:lang w:val="uz-Cyrl-UZ"/>
        </w:rPr>
        <w:t>to</w:t>
      </w:r>
      <w:r w:rsidR="00052A91" w:rsidRPr="001C0271">
        <w:rPr>
          <w:rFonts w:asciiTheme="majorHAnsi" w:eastAsia="Calibri" w:hAnsiTheme="majorHAnsi" w:cs="Times New Roman"/>
          <w:sz w:val="24"/>
          <w:szCs w:val="24"/>
          <w:lang w:val="uz-Cyrl-UZ"/>
        </w:rPr>
        <w:t xml:space="preserve"> </w:t>
      </w:r>
      <w:r w:rsidRPr="001C0271">
        <w:rPr>
          <w:rFonts w:asciiTheme="majorHAnsi" w:eastAsia="Calibri" w:hAnsiTheme="majorHAnsi" w:cs="Times New Roman"/>
          <w:sz w:val="24"/>
          <w:szCs w:val="24"/>
          <w:lang w:val="uz-Cyrl-UZ"/>
        </w:rPr>
        <w:t xml:space="preserve">da </w:t>
      </w:r>
      <w:r w:rsidR="00802AF1" w:rsidRPr="001C0271">
        <w:rPr>
          <w:rFonts w:asciiTheme="majorHAnsi" w:eastAsia="Calibri" w:hAnsiTheme="majorHAnsi" w:cs="Times New Roman"/>
          <w:sz w:val="24"/>
          <w:szCs w:val="24"/>
          <w:lang w:val="uz-Cyrl-UZ"/>
        </w:rPr>
        <w:t xml:space="preserve">je izrečena </w:t>
      </w:r>
      <w:r w:rsidRPr="001C0271">
        <w:rPr>
          <w:rFonts w:asciiTheme="majorHAnsi" w:eastAsia="Calibri" w:hAnsiTheme="majorHAnsi" w:cs="Times New Roman"/>
          <w:sz w:val="24"/>
          <w:szCs w:val="24"/>
          <w:lang w:val="uz-Cyrl-UZ"/>
        </w:rPr>
        <w:t xml:space="preserve">novčana kazna </w:t>
      </w:r>
      <w:r w:rsidR="00802AF1" w:rsidRPr="001C0271">
        <w:rPr>
          <w:rFonts w:asciiTheme="majorHAnsi" w:eastAsia="Calibri" w:hAnsiTheme="majorHAnsi" w:cs="Times New Roman"/>
          <w:sz w:val="24"/>
          <w:szCs w:val="24"/>
          <w:lang w:val="uz-Cyrl-UZ"/>
        </w:rPr>
        <w:t>bila četiri puta veća</w:t>
      </w:r>
      <w:r w:rsidRPr="001C0271">
        <w:rPr>
          <w:rFonts w:asciiTheme="majorHAnsi" w:eastAsia="Calibri" w:hAnsiTheme="majorHAnsi" w:cs="Times New Roman"/>
          <w:sz w:val="24"/>
          <w:szCs w:val="24"/>
          <w:lang w:val="uz-Cyrl-UZ"/>
        </w:rPr>
        <w:t xml:space="preserve"> od prosečne m</w:t>
      </w:r>
      <w:r w:rsidR="00802AF1" w:rsidRPr="001C0271">
        <w:rPr>
          <w:rFonts w:asciiTheme="majorHAnsi" w:eastAsia="Calibri" w:hAnsiTheme="majorHAnsi" w:cs="Times New Roman"/>
          <w:sz w:val="24"/>
          <w:szCs w:val="24"/>
          <w:lang w:val="uz-Cyrl-UZ"/>
        </w:rPr>
        <w:t>j</w:t>
      </w:r>
      <w:r w:rsidRPr="001C0271">
        <w:rPr>
          <w:rFonts w:asciiTheme="majorHAnsi" w:eastAsia="Calibri" w:hAnsiTheme="majorHAnsi" w:cs="Times New Roman"/>
          <w:sz w:val="24"/>
          <w:szCs w:val="24"/>
          <w:lang w:val="uz-Cyrl-UZ"/>
        </w:rPr>
        <w:t>esečne zarade u Rumuniji.</w:t>
      </w:r>
    </w:p>
    <w:p w:rsidR="00802AF1" w:rsidRPr="001C0271" w:rsidRDefault="00802AF1" w:rsidP="001479EE">
      <w:pPr>
        <w:spacing w:after="0"/>
        <w:jc w:val="both"/>
        <w:rPr>
          <w:rFonts w:asciiTheme="majorHAnsi" w:eastAsia="Calibri" w:hAnsiTheme="majorHAnsi" w:cs="Times New Roman"/>
          <w:sz w:val="24"/>
          <w:szCs w:val="24"/>
          <w:lang w:val="uz-Cyrl-UZ"/>
        </w:rPr>
      </w:pPr>
    </w:p>
    <w:p w:rsidR="00802AF1" w:rsidRPr="001C0271" w:rsidRDefault="004B6087" w:rsidP="004B6087">
      <w:pPr>
        <w:pStyle w:val="ListParagraph"/>
        <w:numPr>
          <w:ilvl w:val="0"/>
          <w:numId w:val="11"/>
        </w:numPr>
        <w:spacing w:after="0"/>
        <w:jc w:val="both"/>
        <w:rPr>
          <w:rFonts w:asciiTheme="majorHAnsi" w:eastAsia="Calibri" w:hAnsiTheme="majorHAnsi" w:cs="Times New Roman"/>
          <w:sz w:val="24"/>
          <w:szCs w:val="24"/>
          <w:lang w:val="uz-Cyrl-UZ"/>
        </w:rPr>
      </w:pPr>
      <w:r w:rsidRPr="001C0271">
        <w:rPr>
          <w:rFonts w:asciiTheme="majorHAnsi" w:hAnsiTheme="majorHAnsi"/>
          <w:b/>
          <w:sz w:val="24"/>
          <w:szCs w:val="24"/>
          <w:lang w:val="uz-Cyrl-UZ"/>
        </w:rPr>
        <w:t>Guseva protiv Bugarske</w:t>
      </w:r>
      <w:r w:rsidRPr="001C0271">
        <w:rPr>
          <w:rFonts w:asciiTheme="majorHAnsi" w:hAnsiTheme="majorHAnsi"/>
          <w:sz w:val="24"/>
          <w:szCs w:val="24"/>
          <w:lang w:val="uz-Cyrl-UZ"/>
        </w:rPr>
        <w:t xml:space="preserve"> (predstavka br. 6987/07), 17. februar 2015: </w:t>
      </w:r>
      <w:r w:rsidRPr="001C0271">
        <w:rPr>
          <w:rFonts w:asciiTheme="majorHAnsi" w:hAnsiTheme="majorHAnsi"/>
          <w:sz w:val="24"/>
          <w:szCs w:val="24"/>
          <w:highlight w:val="yellow"/>
          <w:lang w:val="uz-Cyrl-UZ"/>
        </w:rPr>
        <w:t>odbijanjem objavljivanja informacija o pravima životinja prekršeno je pravo na slobodu izražavanja</w:t>
      </w:r>
    </w:p>
    <w:p w:rsidR="003D241D" w:rsidRPr="001C0271" w:rsidRDefault="003D241D" w:rsidP="001479EE">
      <w:pPr>
        <w:spacing w:after="0"/>
        <w:jc w:val="both"/>
        <w:rPr>
          <w:rFonts w:asciiTheme="majorHAnsi" w:eastAsia="Calibri" w:hAnsiTheme="majorHAnsi" w:cs="Times New Roman"/>
          <w:b/>
          <w:i/>
          <w:sz w:val="24"/>
          <w:szCs w:val="24"/>
          <w:lang w:val="uz-Cyrl-UZ"/>
        </w:rPr>
      </w:pPr>
    </w:p>
    <w:p w:rsidR="003D241D" w:rsidRPr="001C0271" w:rsidRDefault="004B6087" w:rsidP="001479EE">
      <w:pPr>
        <w:spacing w:after="0"/>
        <w:jc w:val="both"/>
        <w:rPr>
          <w:rFonts w:asciiTheme="majorHAnsi" w:eastAsia="Calibri" w:hAnsiTheme="majorHAnsi" w:cs="Times New Roman"/>
          <w:sz w:val="24"/>
          <w:szCs w:val="24"/>
          <w:lang w:val="uz-Cyrl-UZ"/>
        </w:rPr>
      </w:pPr>
      <w:r w:rsidRPr="001C0271">
        <w:rPr>
          <w:rFonts w:asciiTheme="majorHAnsi" w:eastAsia="Calibri" w:hAnsiTheme="majorHAnsi" w:cs="Times New Roman"/>
          <w:sz w:val="24"/>
          <w:szCs w:val="24"/>
          <w:lang w:val="uz-Cyrl-UZ"/>
        </w:rPr>
        <w:t>Slučaj se ticao zahtjeva za pristup informacijama u posjedu gradonačelnika. Podnositeljka predstavke, aktivis</w:t>
      </w:r>
      <w:r w:rsidR="005833EC" w:rsidRPr="001C0271">
        <w:rPr>
          <w:rFonts w:asciiTheme="majorHAnsi" w:eastAsia="Calibri" w:hAnsiTheme="majorHAnsi" w:cs="Times New Roman"/>
          <w:sz w:val="24"/>
          <w:szCs w:val="24"/>
          <w:lang w:val="uz-Cyrl-UZ"/>
        </w:rPr>
        <w:t>t</w:t>
      </w:r>
      <w:r w:rsidR="00A70014">
        <w:rPr>
          <w:rFonts w:asciiTheme="majorHAnsi" w:eastAsia="Calibri" w:hAnsiTheme="majorHAnsi" w:cs="Times New Roman"/>
          <w:sz w:val="24"/>
          <w:szCs w:val="24"/>
          <w:lang w:val="uz-Cyrl-UZ"/>
        </w:rPr>
        <w:t>kinja</w:t>
      </w:r>
      <w:r w:rsidR="005833EC" w:rsidRPr="001C0271">
        <w:rPr>
          <w:rFonts w:asciiTheme="majorHAnsi" w:eastAsia="Calibri" w:hAnsiTheme="majorHAnsi" w:cs="Times New Roman"/>
          <w:sz w:val="24"/>
          <w:szCs w:val="24"/>
          <w:lang w:val="uz-Cyrl-UZ"/>
        </w:rPr>
        <w:t xml:space="preserve"> za zaštitu prava životinja, je podnijela nekoliko zahtjeva za pristup informacijama o tretiranju životinja lutalica. Iako je sud naredio objavljivanje informacije, kabinet gradonačelnika je odbio da </w:t>
      </w:r>
      <w:r w:rsidR="00A70014" w:rsidRPr="001C0271">
        <w:rPr>
          <w:rFonts w:asciiTheme="majorHAnsi" w:eastAsia="Calibri" w:hAnsiTheme="majorHAnsi" w:cs="Times New Roman"/>
          <w:sz w:val="24"/>
          <w:szCs w:val="24"/>
          <w:lang w:val="uz-Cyrl-UZ"/>
        </w:rPr>
        <w:t xml:space="preserve">dostavi </w:t>
      </w:r>
      <w:r w:rsidR="005833EC" w:rsidRPr="001C0271">
        <w:rPr>
          <w:rFonts w:asciiTheme="majorHAnsi" w:eastAsia="Calibri" w:hAnsiTheme="majorHAnsi" w:cs="Times New Roman"/>
          <w:sz w:val="24"/>
          <w:szCs w:val="24"/>
          <w:lang w:val="uz-Cyrl-UZ"/>
        </w:rPr>
        <w:t>informacije.</w:t>
      </w:r>
    </w:p>
    <w:p w:rsidR="005833EC" w:rsidRPr="001C0271" w:rsidRDefault="005833EC" w:rsidP="001479EE">
      <w:pPr>
        <w:spacing w:after="0"/>
        <w:jc w:val="both"/>
        <w:rPr>
          <w:rFonts w:asciiTheme="majorHAnsi" w:eastAsia="Calibri" w:hAnsiTheme="majorHAnsi" w:cs="Times New Roman"/>
          <w:sz w:val="24"/>
          <w:szCs w:val="24"/>
          <w:lang w:val="uz-Cyrl-UZ"/>
        </w:rPr>
      </w:pPr>
    </w:p>
    <w:p w:rsidR="005833EC" w:rsidRPr="001C0271" w:rsidRDefault="005833EC" w:rsidP="001479EE">
      <w:pPr>
        <w:spacing w:after="0"/>
        <w:jc w:val="both"/>
        <w:rPr>
          <w:rFonts w:asciiTheme="majorHAnsi" w:eastAsia="Calibri" w:hAnsiTheme="majorHAnsi" w:cs="Times New Roman"/>
          <w:sz w:val="24"/>
          <w:szCs w:val="24"/>
          <w:lang w:val="uz-Cyrl-UZ"/>
        </w:rPr>
      </w:pPr>
      <w:r w:rsidRPr="001C0271">
        <w:rPr>
          <w:rFonts w:asciiTheme="majorHAnsi" w:eastAsia="Calibri" w:hAnsiTheme="majorHAnsi" w:cs="Times New Roman"/>
          <w:sz w:val="24"/>
          <w:szCs w:val="24"/>
          <w:lang w:val="uz-Cyrl-UZ"/>
        </w:rPr>
        <w:t xml:space="preserve">Evropski sud je </w:t>
      </w:r>
      <w:r w:rsidR="00A70014">
        <w:rPr>
          <w:rFonts w:asciiTheme="majorHAnsi" w:eastAsia="Calibri" w:hAnsiTheme="majorHAnsi" w:cs="Times New Roman"/>
          <w:sz w:val="24"/>
          <w:szCs w:val="24"/>
          <w:lang w:val="uz-Cyrl-UZ"/>
        </w:rPr>
        <w:t>rekao</w:t>
      </w:r>
      <w:r w:rsidR="006A4AFF" w:rsidRPr="001C0271">
        <w:rPr>
          <w:rFonts w:asciiTheme="majorHAnsi" w:eastAsia="Calibri" w:hAnsiTheme="majorHAnsi" w:cs="Times New Roman"/>
          <w:sz w:val="24"/>
          <w:szCs w:val="24"/>
          <w:lang w:val="uz-Cyrl-UZ"/>
        </w:rPr>
        <w:t xml:space="preserve"> da javnost ima pravo da prima informacije od opšteg značaja. Njegova sudska praksa se razvijala u odnosu na slobodu štampanih medija, čija je svrha </w:t>
      </w:r>
      <w:r w:rsidR="00CA3DB9" w:rsidRPr="001C0271">
        <w:rPr>
          <w:rFonts w:asciiTheme="majorHAnsi" w:eastAsia="Calibri" w:hAnsiTheme="majorHAnsi" w:cs="Times New Roman"/>
          <w:sz w:val="24"/>
          <w:szCs w:val="24"/>
          <w:lang w:val="uz-Cyrl-UZ"/>
        </w:rPr>
        <w:t xml:space="preserve">da saopštava informacije i ideje o tim pitanjima. Osim toga, Sud je podsjetio da je smatrao da se nevladine organizacije, kao i štampani mediji, mogu okarakterisati kao „čuvari javnog interesa“ u društvu, i da njihove aktivnosti zavrjeđuju zaštitu sličnu onoj koja je obezbijeđena štampanim medijima. </w:t>
      </w:r>
      <w:r w:rsidR="00D863D5" w:rsidRPr="001C0271">
        <w:rPr>
          <w:rFonts w:asciiTheme="majorHAnsi" w:eastAsia="Calibri" w:hAnsiTheme="majorHAnsi" w:cs="Times New Roman"/>
          <w:sz w:val="24"/>
          <w:szCs w:val="24"/>
          <w:lang w:val="uz-Cyrl-UZ"/>
        </w:rPr>
        <w:t xml:space="preserve">Informacija koja je tražena u ovom slučaju je bila od javnog interesa i </w:t>
      </w:r>
      <w:r w:rsidR="00EF5CF6" w:rsidRPr="001C0271">
        <w:rPr>
          <w:rFonts w:asciiTheme="majorHAnsi" w:eastAsia="Calibri" w:hAnsiTheme="majorHAnsi" w:cs="Times New Roman"/>
          <w:sz w:val="24"/>
          <w:szCs w:val="24"/>
          <w:lang w:val="uz-Cyrl-UZ"/>
        </w:rPr>
        <w:t>zahtijevana je k</w:t>
      </w:r>
      <w:r w:rsidR="0020773C">
        <w:rPr>
          <w:rFonts w:asciiTheme="majorHAnsi" w:eastAsia="Calibri" w:hAnsiTheme="majorHAnsi" w:cs="Times New Roman"/>
          <w:sz w:val="24"/>
          <w:szCs w:val="24"/>
          <w:lang w:val="uz-Cyrl-UZ"/>
        </w:rPr>
        <w:t>ako bi doprinijela javnoj raspavi</w:t>
      </w:r>
      <w:r w:rsidR="00EF5CF6" w:rsidRPr="001C0271">
        <w:rPr>
          <w:rFonts w:asciiTheme="majorHAnsi" w:eastAsia="Calibri" w:hAnsiTheme="majorHAnsi" w:cs="Times New Roman"/>
          <w:sz w:val="24"/>
          <w:szCs w:val="24"/>
          <w:lang w:val="uz-Cyrl-UZ"/>
        </w:rPr>
        <w:t xml:space="preserve"> na temu prava životinja. Neobjavljivanje informacije je predstavljalo narušavanje prava na slobodu izražavanja koje, u </w:t>
      </w:r>
      <w:r w:rsidR="00A70014">
        <w:rPr>
          <w:rFonts w:asciiTheme="majorHAnsi" w:eastAsia="Calibri" w:hAnsiTheme="majorHAnsi" w:cs="Times New Roman"/>
          <w:sz w:val="24"/>
          <w:szCs w:val="24"/>
          <w:lang w:val="uz-Cyrl-UZ"/>
        </w:rPr>
        <w:t>kontekstu</w:t>
      </w:r>
      <w:r w:rsidR="0020773C">
        <w:rPr>
          <w:rFonts w:asciiTheme="majorHAnsi" w:eastAsia="Calibri" w:hAnsiTheme="majorHAnsi" w:cs="Times New Roman"/>
          <w:sz w:val="24"/>
          <w:szCs w:val="24"/>
          <w:lang w:val="uz-Cyrl-UZ"/>
        </w:rPr>
        <w:t xml:space="preserve"> naredbi domaćih sudova za obja</w:t>
      </w:r>
      <w:r w:rsidR="00EF5CF6" w:rsidRPr="001C0271">
        <w:rPr>
          <w:rFonts w:asciiTheme="majorHAnsi" w:eastAsia="Calibri" w:hAnsiTheme="majorHAnsi" w:cs="Times New Roman"/>
          <w:sz w:val="24"/>
          <w:szCs w:val="24"/>
          <w:lang w:val="uz-Cyrl-UZ"/>
        </w:rPr>
        <w:t>vljivanjem, nije imalo pravni osnov. Sud je primijetio</w:t>
      </w:r>
      <w:r w:rsidR="00A70014">
        <w:rPr>
          <w:rFonts w:asciiTheme="majorHAnsi" w:eastAsia="Calibri" w:hAnsiTheme="majorHAnsi" w:cs="Times New Roman"/>
          <w:sz w:val="24"/>
          <w:szCs w:val="24"/>
          <w:lang w:val="uz-Cyrl-UZ"/>
        </w:rPr>
        <w:t xml:space="preserve"> i</w:t>
      </w:r>
      <w:r w:rsidR="00EF5CF6" w:rsidRPr="001C0271">
        <w:rPr>
          <w:rFonts w:asciiTheme="majorHAnsi" w:eastAsia="Calibri" w:hAnsiTheme="majorHAnsi" w:cs="Times New Roman"/>
          <w:sz w:val="24"/>
          <w:szCs w:val="24"/>
          <w:lang w:val="uz-Cyrl-UZ"/>
        </w:rPr>
        <w:t xml:space="preserve"> da, prema domaćem zakonu, nije postojalo precizno vr</w:t>
      </w:r>
      <w:r w:rsidR="00A70014">
        <w:rPr>
          <w:rFonts w:asciiTheme="majorHAnsi" w:eastAsia="Calibri" w:hAnsiTheme="majorHAnsi" w:cs="Times New Roman"/>
          <w:sz w:val="24"/>
          <w:szCs w:val="24"/>
          <w:lang w:val="uz-Cyrl-UZ"/>
        </w:rPr>
        <w:t>e</w:t>
      </w:r>
      <w:r w:rsidR="00EF5CF6" w:rsidRPr="001C0271">
        <w:rPr>
          <w:rFonts w:asciiTheme="majorHAnsi" w:eastAsia="Calibri" w:hAnsiTheme="majorHAnsi" w:cs="Times New Roman"/>
          <w:sz w:val="24"/>
          <w:szCs w:val="24"/>
          <w:lang w:val="uz-Cyrl-UZ"/>
        </w:rPr>
        <w:t>mensko ograničenje za objavljivanje infor</w:t>
      </w:r>
      <w:r w:rsidR="00AE2C8C" w:rsidRPr="001C0271">
        <w:rPr>
          <w:rFonts w:asciiTheme="majorHAnsi" w:eastAsia="Calibri" w:hAnsiTheme="majorHAnsi" w:cs="Times New Roman"/>
          <w:sz w:val="24"/>
          <w:szCs w:val="24"/>
          <w:lang w:val="uz-Cyrl-UZ"/>
        </w:rPr>
        <w:t xml:space="preserve">macija koje su naredili sudovi; ovo je </w:t>
      </w:r>
      <w:r w:rsidR="00AE2C8C" w:rsidRPr="001C0271">
        <w:rPr>
          <w:rFonts w:asciiTheme="majorHAnsi" w:eastAsia="Calibri" w:hAnsiTheme="majorHAnsi" w:cs="Times New Roman"/>
          <w:sz w:val="24"/>
          <w:szCs w:val="24"/>
          <w:lang w:val="uz-Cyrl-UZ"/>
        </w:rPr>
        <w:lastRenderedPageBreak/>
        <w:t xml:space="preserve">prepušteno dobroj volji administrativnog tijela koje je odgovorno za sprovođenje presude. Sud je našao da je na ovaj način stvorena </w:t>
      </w:r>
      <w:r w:rsidR="0013367C" w:rsidRPr="001C0271">
        <w:rPr>
          <w:rFonts w:asciiTheme="majorHAnsi" w:eastAsia="Calibri" w:hAnsiTheme="majorHAnsi" w:cs="Times New Roman"/>
          <w:sz w:val="24"/>
          <w:szCs w:val="24"/>
          <w:lang w:val="uz-Cyrl-UZ"/>
        </w:rPr>
        <w:t xml:space="preserve">atmosfera </w:t>
      </w:r>
      <w:r w:rsidR="00AE2C8C" w:rsidRPr="001C0271">
        <w:rPr>
          <w:rFonts w:asciiTheme="majorHAnsi" w:eastAsia="Calibri" w:hAnsiTheme="majorHAnsi" w:cs="Times New Roman"/>
          <w:sz w:val="24"/>
          <w:szCs w:val="24"/>
          <w:lang w:val="uz-Cyrl-UZ"/>
        </w:rPr>
        <w:t>nepredvidljivost</w:t>
      </w:r>
      <w:r w:rsidR="0013367C" w:rsidRPr="001C0271">
        <w:rPr>
          <w:rFonts w:asciiTheme="majorHAnsi" w:eastAsia="Calibri" w:hAnsiTheme="majorHAnsi" w:cs="Times New Roman"/>
          <w:sz w:val="24"/>
          <w:szCs w:val="24"/>
          <w:lang w:val="uz-Cyrl-UZ"/>
        </w:rPr>
        <w:t>i</w:t>
      </w:r>
      <w:r w:rsidR="00AE2C8C" w:rsidRPr="001C0271">
        <w:rPr>
          <w:rFonts w:asciiTheme="majorHAnsi" w:eastAsia="Calibri" w:hAnsiTheme="majorHAnsi" w:cs="Times New Roman"/>
          <w:sz w:val="24"/>
          <w:szCs w:val="24"/>
          <w:lang w:val="uz-Cyrl-UZ"/>
        </w:rPr>
        <w:t xml:space="preserve"> zbog vjerovatnog vremena sprovođenja, što je samo po sebi predstavljalo kršenje prava na slobodu izražavanja. </w:t>
      </w:r>
    </w:p>
    <w:p w:rsidR="001C0271" w:rsidRPr="001C0271" w:rsidRDefault="001C0271" w:rsidP="001479EE">
      <w:pPr>
        <w:spacing w:after="0"/>
        <w:jc w:val="both"/>
        <w:rPr>
          <w:rFonts w:asciiTheme="majorHAnsi" w:eastAsia="Calibri" w:hAnsiTheme="majorHAnsi" w:cs="Times New Roman"/>
          <w:sz w:val="24"/>
          <w:szCs w:val="24"/>
          <w:lang w:val="uz-Cyrl-UZ"/>
        </w:rPr>
      </w:pPr>
    </w:p>
    <w:p w:rsidR="00193E7C" w:rsidRPr="00193E7C" w:rsidRDefault="00193E7C" w:rsidP="00193E7C">
      <w:pPr>
        <w:pStyle w:val="ListParagraph"/>
        <w:numPr>
          <w:ilvl w:val="0"/>
          <w:numId w:val="11"/>
        </w:numPr>
        <w:jc w:val="both"/>
        <w:rPr>
          <w:rFonts w:asciiTheme="majorHAnsi" w:hAnsiTheme="majorHAnsi"/>
          <w:sz w:val="24"/>
          <w:szCs w:val="24"/>
          <w:lang w:val="uz-Cyrl-UZ"/>
        </w:rPr>
      </w:pPr>
      <w:r w:rsidRPr="00193E7C">
        <w:rPr>
          <w:rFonts w:asciiTheme="majorHAnsi" w:hAnsiTheme="majorHAnsi"/>
          <w:b/>
          <w:sz w:val="24"/>
          <w:szCs w:val="24"/>
          <w:lang w:val="uz-Cyrl-UZ"/>
        </w:rPr>
        <w:t>Bohlen i Von Hannover protiv Njemačke</w:t>
      </w:r>
      <w:r w:rsidRPr="00193E7C">
        <w:rPr>
          <w:rFonts w:asciiTheme="majorHAnsi" w:hAnsiTheme="majorHAnsi"/>
          <w:sz w:val="24"/>
          <w:szCs w:val="24"/>
          <w:lang w:val="uz-Cyrl-UZ"/>
        </w:rPr>
        <w:t xml:space="preserve"> (predstavka br. 53495/09), 19. februar 2015: </w:t>
      </w:r>
      <w:r w:rsidRPr="00193E7C">
        <w:rPr>
          <w:rFonts w:asciiTheme="majorHAnsi" w:hAnsiTheme="majorHAnsi"/>
          <w:sz w:val="24"/>
          <w:szCs w:val="24"/>
          <w:highlight w:val="yellow"/>
          <w:lang w:val="uz-Cyrl-UZ"/>
        </w:rPr>
        <w:t>upotr</w:t>
      </w:r>
      <w:r w:rsidR="0020773C">
        <w:rPr>
          <w:rFonts w:asciiTheme="majorHAnsi" w:hAnsiTheme="majorHAnsi"/>
          <w:sz w:val="24"/>
          <w:szCs w:val="24"/>
          <w:highlight w:val="yellow"/>
          <w:lang w:val="uz-Cyrl-UZ"/>
        </w:rPr>
        <w:t>ebom</w:t>
      </w:r>
      <w:r w:rsidRPr="00193E7C">
        <w:rPr>
          <w:rFonts w:asciiTheme="majorHAnsi" w:hAnsiTheme="majorHAnsi"/>
          <w:sz w:val="24"/>
          <w:szCs w:val="24"/>
          <w:highlight w:val="yellow"/>
          <w:lang w:val="uz-Cyrl-UZ"/>
        </w:rPr>
        <w:t xml:space="preserve"> imena poznatih ličnosti u satiričnim reklamama nije prekršeno pravo na slobodu izražavanja</w:t>
      </w:r>
    </w:p>
    <w:p w:rsidR="001C0271" w:rsidRPr="001C0271" w:rsidRDefault="001C0271" w:rsidP="001C0271">
      <w:pPr>
        <w:jc w:val="both"/>
        <w:rPr>
          <w:rFonts w:asciiTheme="majorHAnsi" w:hAnsiTheme="majorHAnsi"/>
          <w:sz w:val="24"/>
          <w:szCs w:val="24"/>
          <w:lang w:val="uz-Cyrl-UZ"/>
        </w:rPr>
      </w:pPr>
      <w:r w:rsidRPr="001C0271">
        <w:rPr>
          <w:rFonts w:asciiTheme="majorHAnsi" w:hAnsiTheme="majorHAnsi"/>
          <w:sz w:val="24"/>
          <w:szCs w:val="24"/>
          <w:lang w:val="uz-Cyrl-UZ"/>
        </w:rPr>
        <w:t>Ovi slučajevi su se ticali upotrebe imena podnosilaca predstavke u svrhe reklamiranja duvanskih proizvoda, kao i novosti koje ih se tiču, bez njihovog pristanka. Prvi podnosilac pred</w:t>
      </w:r>
      <w:r w:rsidR="0020773C">
        <w:rPr>
          <w:rFonts w:asciiTheme="majorHAnsi" w:hAnsiTheme="majorHAnsi"/>
          <w:sz w:val="24"/>
          <w:szCs w:val="24"/>
          <w:lang w:val="uz-Cyrl-UZ"/>
        </w:rPr>
        <w:t>s</w:t>
      </w:r>
      <w:r w:rsidRPr="001C0271">
        <w:rPr>
          <w:rFonts w:asciiTheme="majorHAnsi" w:hAnsiTheme="majorHAnsi"/>
          <w:sz w:val="24"/>
          <w:szCs w:val="24"/>
          <w:lang w:val="uz-Cyrl-UZ"/>
        </w:rPr>
        <w:t xml:space="preserve">tavke, Dieter Bohlen, je </w:t>
      </w:r>
      <w:r w:rsidR="0020773C">
        <w:rPr>
          <w:rFonts w:asciiTheme="majorHAnsi" w:hAnsiTheme="majorHAnsi"/>
          <w:sz w:val="24"/>
          <w:szCs w:val="24"/>
          <w:lang w:val="uz-Cyrl-UZ"/>
        </w:rPr>
        <w:t>muzičar i producent. On je 2003</w:t>
      </w:r>
      <w:r w:rsidRPr="001C0271">
        <w:rPr>
          <w:rFonts w:asciiTheme="majorHAnsi" w:hAnsiTheme="majorHAnsi"/>
          <w:sz w:val="24"/>
          <w:szCs w:val="24"/>
          <w:lang w:val="uz-Cyrl-UZ"/>
        </w:rPr>
        <w:t xml:space="preserve">. morao </w:t>
      </w:r>
      <w:r w:rsidR="00A70014">
        <w:rPr>
          <w:rFonts w:asciiTheme="majorHAnsi" w:hAnsiTheme="majorHAnsi"/>
          <w:sz w:val="24"/>
          <w:szCs w:val="24"/>
          <w:lang w:val="uz-Cyrl-UZ"/>
        </w:rPr>
        <w:t xml:space="preserve">da </w:t>
      </w:r>
      <w:r w:rsidRPr="001C0271">
        <w:rPr>
          <w:rFonts w:asciiTheme="majorHAnsi" w:hAnsiTheme="majorHAnsi"/>
          <w:sz w:val="24"/>
          <w:szCs w:val="24"/>
          <w:lang w:val="uz-Cyrl-UZ"/>
        </w:rPr>
        <w:t xml:space="preserve">ukloni određene pasuse iz svoje knjige nakon sudskih presuda.  U oktobru 2003. </w:t>
      </w:r>
      <w:r w:rsidRPr="001C0271">
        <w:rPr>
          <w:rFonts w:asciiTheme="majorHAnsi" w:hAnsiTheme="majorHAnsi"/>
          <w:i/>
          <w:sz w:val="24"/>
          <w:szCs w:val="24"/>
          <w:lang w:val="uz-Cyrl-UZ"/>
        </w:rPr>
        <w:t xml:space="preserve">British American Tobacco </w:t>
      </w:r>
      <w:r w:rsidRPr="001C0271">
        <w:rPr>
          <w:rFonts w:asciiTheme="majorHAnsi" w:hAnsiTheme="majorHAnsi"/>
          <w:sz w:val="24"/>
          <w:szCs w:val="24"/>
          <w:lang w:val="uz-Cyrl-UZ"/>
        </w:rPr>
        <w:t xml:space="preserve">(Njemačka) je pokrenuo reklamnu kampanju koja se odnosila na ovo, prikazujući tekst koji sadrži ime podnosioca predstavke i koji je bio djelimično precrtan crnim mastilom. Drugi podnosilac predstavke je suprug Princeze Karoline od Monaka. On je 1998. i 2000. bio umiješan u dva nasilna incidenta, jedan sa kamermanom a drugi sa menadžerom diskoteke, i kasnije je osuđen za napad.  U martu 2000. </w:t>
      </w:r>
      <w:r w:rsidRPr="001C0271">
        <w:rPr>
          <w:rFonts w:asciiTheme="majorHAnsi" w:hAnsiTheme="majorHAnsi"/>
          <w:i/>
          <w:sz w:val="24"/>
          <w:szCs w:val="24"/>
          <w:lang w:val="uz-Cyrl-UZ"/>
        </w:rPr>
        <w:t xml:space="preserve">British American Tobacco </w:t>
      </w:r>
      <w:r w:rsidRPr="001C0271">
        <w:rPr>
          <w:rFonts w:asciiTheme="majorHAnsi" w:hAnsiTheme="majorHAnsi"/>
          <w:sz w:val="24"/>
          <w:szCs w:val="24"/>
          <w:lang w:val="uz-Cyrl-UZ"/>
        </w:rPr>
        <w:t>je ove događaje iskoristio za reklamu u kojoj je pominjano ime G. Von Hannover-a i prikazana je slika zgužvane kutije cigareta. Bohlen i Von Hannover su zahtijevali da se naredi zabrana distribucije ovih reklama, što je proizvođač odmah ispoštovao, ali je odbio da plati 100,000.00</w:t>
      </w:r>
      <w:r w:rsidR="00A70014">
        <w:rPr>
          <w:rFonts w:asciiTheme="majorHAnsi" w:hAnsiTheme="majorHAnsi"/>
          <w:sz w:val="24"/>
          <w:szCs w:val="24"/>
          <w:lang w:val="uz-Cyrl-UZ"/>
        </w:rPr>
        <w:t xml:space="preserve"> </w:t>
      </w:r>
      <w:r w:rsidR="0020773C">
        <w:rPr>
          <w:rFonts w:asciiTheme="majorHAnsi" w:hAnsiTheme="majorHAnsi"/>
          <w:sz w:val="24"/>
          <w:szCs w:val="24"/>
          <w:lang w:val="uz-Cyrl-UZ"/>
        </w:rPr>
        <w:t>€</w:t>
      </w:r>
      <w:r w:rsidR="00A70014">
        <w:rPr>
          <w:rFonts w:asciiTheme="majorHAnsi" w:hAnsiTheme="majorHAnsi"/>
          <w:sz w:val="24"/>
          <w:szCs w:val="24"/>
          <w:lang w:val="uz-Cyrl-UZ"/>
        </w:rPr>
        <w:t>,</w:t>
      </w:r>
      <w:r w:rsidR="0020773C">
        <w:rPr>
          <w:rFonts w:asciiTheme="majorHAnsi" w:hAnsiTheme="majorHAnsi"/>
          <w:sz w:val="24"/>
          <w:szCs w:val="24"/>
          <w:lang w:val="uz-Cyrl-UZ"/>
        </w:rPr>
        <w:t xml:space="preserve"> </w:t>
      </w:r>
      <w:r w:rsidRPr="001C0271">
        <w:rPr>
          <w:rFonts w:asciiTheme="majorHAnsi" w:hAnsiTheme="majorHAnsi"/>
          <w:sz w:val="24"/>
          <w:szCs w:val="24"/>
          <w:lang w:val="uz-Cyrl-UZ"/>
        </w:rPr>
        <w:t xml:space="preserve">koje su podnosioci predstavke zahtijevali kao naknadu za licencu za korišćenje njihovih imena. Nakon dužeg sudskog postupka, </w:t>
      </w:r>
      <w:r w:rsidR="0020773C">
        <w:rPr>
          <w:rFonts w:asciiTheme="majorHAnsi" w:hAnsiTheme="majorHAnsi"/>
          <w:sz w:val="24"/>
          <w:szCs w:val="24"/>
          <w:lang w:val="uz-Cyrl-UZ"/>
        </w:rPr>
        <w:t>S</w:t>
      </w:r>
      <w:r w:rsidRPr="001C0271">
        <w:rPr>
          <w:rFonts w:asciiTheme="majorHAnsi" w:hAnsiTheme="majorHAnsi"/>
          <w:sz w:val="24"/>
          <w:szCs w:val="24"/>
          <w:lang w:val="uz-Cyrl-UZ"/>
        </w:rPr>
        <w:t>avezni sud pravde je na kraju našao da su reklame uprkos svojoj komercijalnoj prirodi oblikovale javno mnjenje; da im nije bio cilj da iskoriste ime podnosilaca predstavke; niti su sadržale bilo šta što bi za njih bilo ponižavajuće. Bohlen i Von Hannover su se</w:t>
      </w:r>
      <w:r w:rsidR="004C3ECD">
        <w:rPr>
          <w:rFonts w:asciiTheme="majorHAnsi" w:hAnsiTheme="majorHAnsi"/>
          <w:sz w:val="24"/>
          <w:szCs w:val="24"/>
          <w:lang w:val="uz-Cyrl-UZ"/>
        </w:rPr>
        <w:t xml:space="preserve"> onda</w:t>
      </w:r>
      <w:r w:rsidRPr="001C0271">
        <w:rPr>
          <w:rFonts w:asciiTheme="majorHAnsi" w:hAnsiTheme="majorHAnsi"/>
          <w:sz w:val="24"/>
          <w:szCs w:val="24"/>
          <w:lang w:val="uz-Cyrl-UZ"/>
        </w:rPr>
        <w:t xml:space="preserve"> žalili Evropskom sudu za ljudska prava.</w:t>
      </w:r>
    </w:p>
    <w:p w:rsidR="001C0271" w:rsidRPr="001C0271" w:rsidRDefault="001C0271" w:rsidP="001C0271">
      <w:pPr>
        <w:spacing w:after="0"/>
        <w:jc w:val="both"/>
        <w:rPr>
          <w:rFonts w:asciiTheme="majorHAnsi" w:eastAsia="Calibri" w:hAnsiTheme="majorHAnsi" w:cs="Times New Roman"/>
          <w:sz w:val="24"/>
          <w:szCs w:val="24"/>
          <w:lang w:val="uz-Cyrl-UZ"/>
        </w:rPr>
      </w:pPr>
      <w:r w:rsidRPr="001C0271">
        <w:rPr>
          <w:rFonts w:asciiTheme="majorHAnsi" w:eastAsia="Calibri" w:hAnsiTheme="majorHAnsi" w:cs="Times New Roman"/>
          <w:sz w:val="24"/>
          <w:szCs w:val="24"/>
          <w:lang w:val="uz-Cyrl-UZ"/>
        </w:rPr>
        <w:t>Sud je našao da prava podnosilaca predstavke nijesu prekršena. Sud je utvrdio da, kao prvo, države imaju široko „polje slobodne procjene“ što se tiče slobode izražavanja i p</w:t>
      </w:r>
      <w:r w:rsidR="0020773C">
        <w:rPr>
          <w:rFonts w:asciiTheme="majorHAnsi" w:eastAsia="Calibri" w:hAnsiTheme="majorHAnsi" w:cs="Times New Roman"/>
          <w:sz w:val="24"/>
          <w:szCs w:val="24"/>
          <w:lang w:val="uz-Cyrl-UZ"/>
        </w:rPr>
        <w:t>rava na zaštitu privatnosti. O</w:t>
      </w:r>
      <w:r w:rsidRPr="001C0271">
        <w:rPr>
          <w:rFonts w:asciiTheme="majorHAnsi" w:eastAsia="Calibri" w:hAnsiTheme="majorHAnsi" w:cs="Times New Roman"/>
          <w:sz w:val="24"/>
          <w:szCs w:val="24"/>
          <w:lang w:val="uz-Cyrl-UZ"/>
        </w:rPr>
        <w:t>vo polje procjene je bilo naročito široko u odnosu na komercijalni govor poput reklame koj</w:t>
      </w:r>
      <w:r w:rsidR="00E0005B">
        <w:rPr>
          <w:rFonts w:asciiTheme="majorHAnsi" w:eastAsia="Calibri" w:hAnsiTheme="majorHAnsi" w:cs="Times New Roman"/>
          <w:sz w:val="24"/>
          <w:szCs w:val="24"/>
          <w:lang w:val="uz-Cyrl-UZ"/>
        </w:rPr>
        <w:t>a je u pitanju. Sud je ponovio r</w:t>
      </w:r>
      <w:r w:rsidRPr="001C0271">
        <w:rPr>
          <w:rFonts w:asciiTheme="majorHAnsi" w:eastAsia="Calibri" w:hAnsiTheme="majorHAnsi" w:cs="Times New Roman"/>
          <w:sz w:val="24"/>
          <w:szCs w:val="24"/>
          <w:lang w:val="uz-Cyrl-UZ"/>
        </w:rPr>
        <w:t xml:space="preserve">elevantne kriterijume iz svoje sudske prakse kako bi ocijenio način na koji su domaći sudovi uspostavili ravnotežu između prava na poštovanje privatnog života i prava na slobodu izražavanja. Ti kriterijumi su bili: doprinos raspravi od javnog interesa, u kojoj je mjeri osoba koja je u pitanju bila u žiži javnosti, predmet izvještavanja, ranije ponašanje osobe koja je u pitanju kao i </w:t>
      </w:r>
      <w:r w:rsidR="0020773C">
        <w:rPr>
          <w:rFonts w:asciiTheme="majorHAnsi" w:eastAsia="Calibri" w:hAnsiTheme="majorHAnsi" w:cs="Times New Roman"/>
          <w:sz w:val="24"/>
          <w:szCs w:val="24"/>
          <w:lang w:val="uz-Cyrl-UZ"/>
        </w:rPr>
        <w:t>sam sadržina</w:t>
      </w:r>
      <w:r w:rsidRPr="001C0271">
        <w:rPr>
          <w:rFonts w:asciiTheme="majorHAnsi" w:eastAsia="Calibri" w:hAnsiTheme="majorHAnsi" w:cs="Times New Roman"/>
          <w:sz w:val="24"/>
          <w:szCs w:val="24"/>
          <w:lang w:val="uz-Cyrl-UZ"/>
        </w:rPr>
        <w:t>, oblik i uticaj sadržaja koji je objavljen. Kao prvo, u odnosu na pitanje od javnog interesa, Sud je smatrao da je reklama osmišljena kako bi u nekoj mjeri doprinijela raspravi od javnog interesa budući da su se bavili događajima koji su bili tema javnih rasprava na satiričan način. Drugo, što se tiče mjere do koje su podnosioci predstavke bili u žiži javnosti, sud je</w:t>
      </w:r>
      <w:r w:rsidR="0020773C">
        <w:rPr>
          <w:rFonts w:asciiTheme="majorHAnsi" w:eastAsia="Calibri" w:hAnsiTheme="majorHAnsi" w:cs="Times New Roman"/>
          <w:sz w:val="24"/>
          <w:szCs w:val="24"/>
          <w:lang w:val="uz-Cyrl-UZ"/>
        </w:rPr>
        <w:t xml:space="preserve"> smatrao da su oni već bili dob</w:t>
      </w:r>
      <w:r w:rsidRPr="001C0271">
        <w:rPr>
          <w:rFonts w:asciiTheme="majorHAnsi" w:eastAsia="Calibri" w:hAnsiTheme="majorHAnsi" w:cs="Times New Roman"/>
          <w:sz w:val="24"/>
          <w:szCs w:val="24"/>
          <w:lang w:val="uz-Cyrl-UZ"/>
        </w:rPr>
        <w:t>r</w:t>
      </w:r>
      <w:r w:rsidR="0020773C">
        <w:rPr>
          <w:rFonts w:asciiTheme="majorHAnsi" w:eastAsia="Calibri" w:hAnsiTheme="majorHAnsi" w:cs="Times New Roman"/>
          <w:sz w:val="24"/>
          <w:szCs w:val="24"/>
          <w:lang w:val="uz-Cyrl-UZ"/>
        </w:rPr>
        <w:t>o</w:t>
      </w:r>
      <w:r w:rsidRPr="001C0271">
        <w:rPr>
          <w:rFonts w:asciiTheme="majorHAnsi" w:eastAsia="Calibri" w:hAnsiTheme="majorHAnsi" w:cs="Times New Roman"/>
          <w:sz w:val="24"/>
          <w:szCs w:val="24"/>
          <w:lang w:val="uz-Cyrl-UZ"/>
        </w:rPr>
        <w:t xml:space="preserve"> poznati javnosti, te da nisu mogli zahtijevati isti stepen zaštite privatnog života ka</w:t>
      </w:r>
      <w:r w:rsidR="0020773C">
        <w:rPr>
          <w:rFonts w:asciiTheme="majorHAnsi" w:eastAsia="Calibri" w:hAnsiTheme="majorHAnsi" w:cs="Times New Roman"/>
          <w:sz w:val="24"/>
          <w:szCs w:val="24"/>
          <w:lang w:val="uz-Cyrl-UZ"/>
        </w:rPr>
        <w:t>o i osobe koje su nepoznate širo</w:t>
      </w:r>
      <w:r w:rsidRPr="001C0271">
        <w:rPr>
          <w:rFonts w:asciiTheme="majorHAnsi" w:eastAsia="Calibri" w:hAnsiTheme="majorHAnsi" w:cs="Times New Roman"/>
          <w:sz w:val="24"/>
          <w:szCs w:val="24"/>
          <w:lang w:val="uz-Cyrl-UZ"/>
        </w:rPr>
        <w:t xml:space="preserve">j javnosti. Treće, prema mišljenju Suda, predmet reklama je bio ograničen na konkretne događaje koji su već bili dobro poznati javnosti, koji su bili </w:t>
      </w:r>
      <w:r w:rsidRPr="001C0271">
        <w:rPr>
          <w:rFonts w:asciiTheme="majorHAnsi" w:eastAsia="Calibri" w:hAnsiTheme="majorHAnsi" w:cs="Times New Roman"/>
          <w:sz w:val="24"/>
          <w:szCs w:val="24"/>
          <w:lang w:val="uz-Cyrl-UZ"/>
        </w:rPr>
        <w:lastRenderedPageBreak/>
        <w:t>propraćeni u medijima i koji nisu bili sporni. Na kraju, što se tiče sadržaja, oblika i uticaja koji su imale reklame, Sud je primijetio da slika podnosilaca predstavke koja je prenešena nije bila ponižavajuća i da je na osnovu indirektnih aluzija iz reklame bilo teško uspostaviti vezu sa događajima koji su u pita</w:t>
      </w:r>
      <w:r w:rsidR="0020773C">
        <w:rPr>
          <w:rFonts w:asciiTheme="majorHAnsi" w:eastAsia="Calibri" w:hAnsiTheme="majorHAnsi" w:cs="Times New Roman"/>
          <w:sz w:val="24"/>
          <w:szCs w:val="24"/>
          <w:lang w:val="uz-Cyrl-UZ"/>
        </w:rPr>
        <w:t>n</w:t>
      </w:r>
      <w:r w:rsidRPr="001C0271">
        <w:rPr>
          <w:rFonts w:asciiTheme="majorHAnsi" w:eastAsia="Calibri" w:hAnsiTheme="majorHAnsi" w:cs="Times New Roman"/>
          <w:sz w:val="24"/>
          <w:szCs w:val="24"/>
          <w:lang w:val="uz-Cyrl-UZ"/>
        </w:rPr>
        <w:t xml:space="preserve">ju. Sud je u tom smislu prihvatio da je upotreba imena javne ličnosti za potrebe komercijalnih proizvoda, sa ili bez njegovog/njenog pristanka, mogla pokrenuti pitanje </w:t>
      </w:r>
      <w:r w:rsidR="0020773C">
        <w:rPr>
          <w:rFonts w:asciiTheme="majorHAnsi" w:eastAsia="Calibri" w:hAnsiTheme="majorHAnsi" w:cs="Times New Roman"/>
          <w:sz w:val="24"/>
          <w:szCs w:val="24"/>
          <w:lang w:val="uz-Cyrl-UZ"/>
        </w:rPr>
        <w:t>iz člana</w:t>
      </w:r>
      <w:r w:rsidRPr="001C0271">
        <w:rPr>
          <w:rFonts w:asciiTheme="majorHAnsi" w:eastAsia="Calibri" w:hAnsiTheme="majorHAnsi" w:cs="Times New Roman"/>
          <w:sz w:val="24"/>
          <w:szCs w:val="24"/>
          <w:lang w:val="uz-Cyrl-UZ"/>
        </w:rPr>
        <w:t xml:space="preserve"> 8, pogotovo onda kada taj proizvod nije široko prihvaćen u društvu. U ovom konkretnom slučaju, Sud je našao za shodno da se složi sa zaključcima Saveznog suda pravde, pog</w:t>
      </w:r>
      <w:r w:rsidR="0020773C">
        <w:rPr>
          <w:rFonts w:asciiTheme="majorHAnsi" w:eastAsia="Calibri" w:hAnsiTheme="majorHAnsi" w:cs="Times New Roman"/>
          <w:sz w:val="24"/>
          <w:szCs w:val="24"/>
          <w:lang w:val="uz-Cyrl-UZ"/>
        </w:rPr>
        <w:t>o</w:t>
      </w:r>
      <w:r w:rsidRPr="001C0271">
        <w:rPr>
          <w:rFonts w:asciiTheme="majorHAnsi" w:eastAsia="Calibri" w:hAnsiTheme="majorHAnsi" w:cs="Times New Roman"/>
          <w:sz w:val="24"/>
          <w:szCs w:val="24"/>
          <w:lang w:val="uz-Cyrl-UZ"/>
        </w:rPr>
        <w:t>tovo u odnosu na humorističku prirodu reklama. Shodno tome, Sud je smatrao da Savezni sud pravde uspostavio pravičnu ravnotežu između slobode izražavanja i prava na poštovanje privatnog života.</w:t>
      </w:r>
    </w:p>
    <w:p w:rsidR="001C0271" w:rsidRPr="001C0271" w:rsidRDefault="001C0271" w:rsidP="001479EE">
      <w:pPr>
        <w:spacing w:after="0"/>
        <w:jc w:val="both"/>
        <w:rPr>
          <w:rFonts w:asciiTheme="majorHAnsi" w:eastAsia="Calibri" w:hAnsiTheme="majorHAnsi" w:cs="Times New Roman"/>
          <w:sz w:val="24"/>
          <w:szCs w:val="24"/>
          <w:lang w:val="uz-Cyrl-UZ"/>
        </w:rPr>
      </w:pPr>
    </w:p>
    <w:p w:rsidR="006A066A" w:rsidRDefault="006A066A" w:rsidP="006A066A">
      <w:pPr>
        <w:pStyle w:val="ListParagraph"/>
        <w:numPr>
          <w:ilvl w:val="0"/>
          <w:numId w:val="12"/>
        </w:numPr>
        <w:jc w:val="both"/>
        <w:rPr>
          <w:rFonts w:asciiTheme="majorHAnsi" w:hAnsiTheme="majorHAnsi"/>
          <w:sz w:val="24"/>
          <w:szCs w:val="24"/>
          <w:lang w:val="uz-Cyrl-UZ"/>
        </w:rPr>
      </w:pPr>
      <w:r w:rsidRPr="002F126F">
        <w:rPr>
          <w:rFonts w:asciiTheme="majorHAnsi" w:hAnsiTheme="majorHAnsi"/>
          <w:b/>
          <w:i/>
          <w:sz w:val="24"/>
          <w:szCs w:val="24"/>
          <w:lang w:val="uz-Cyrl-UZ"/>
        </w:rPr>
        <w:t xml:space="preserve">Haldimann </w:t>
      </w:r>
      <w:r>
        <w:rPr>
          <w:rFonts w:asciiTheme="majorHAnsi" w:hAnsiTheme="majorHAnsi"/>
          <w:b/>
          <w:i/>
          <w:sz w:val="24"/>
          <w:szCs w:val="24"/>
          <w:lang w:val="uz-Cyrl-UZ"/>
        </w:rPr>
        <w:t>i</w:t>
      </w:r>
      <w:r w:rsidRPr="002F126F">
        <w:rPr>
          <w:rFonts w:asciiTheme="majorHAnsi" w:hAnsiTheme="majorHAnsi"/>
          <w:b/>
          <w:i/>
          <w:sz w:val="24"/>
          <w:szCs w:val="24"/>
          <w:lang w:val="uz-Cyrl-UZ"/>
        </w:rPr>
        <w:t xml:space="preserve"> drugi protiv Švajcarske</w:t>
      </w:r>
      <w:r w:rsidRPr="002F126F">
        <w:rPr>
          <w:rFonts w:asciiTheme="majorHAnsi" w:hAnsiTheme="majorHAnsi"/>
          <w:sz w:val="24"/>
          <w:szCs w:val="24"/>
          <w:lang w:val="uz-Cyrl-UZ"/>
        </w:rPr>
        <w:t xml:space="preserve"> (predstavka br. 21830/09), 24. februar 2015: </w:t>
      </w:r>
      <w:r w:rsidRPr="006A066A">
        <w:rPr>
          <w:rFonts w:asciiTheme="majorHAnsi" w:hAnsiTheme="majorHAnsi"/>
          <w:sz w:val="24"/>
          <w:szCs w:val="24"/>
          <w:highlight w:val="yellow"/>
          <w:lang w:val="uz-Cyrl-UZ"/>
        </w:rPr>
        <w:t>upotreba skrivenih kamera u potrošačkom novinarstvu je opravdano sredstvo</w:t>
      </w:r>
    </w:p>
    <w:p w:rsidR="006A066A" w:rsidRDefault="006A066A" w:rsidP="006A066A">
      <w:pPr>
        <w:jc w:val="both"/>
        <w:rPr>
          <w:rFonts w:asciiTheme="majorHAnsi" w:hAnsiTheme="majorHAnsi"/>
          <w:sz w:val="24"/>
          <w:szCs w:val="24"/>
          <w:lang w:val="uz-Cyrl-UZ"/>
        </w:rPr>
      </w:pPr>
      <w:r>
        <w:rPr>
          <w:rFonts w:asciiTheme="majorHAnsi" w:hAnsiTheme="majorHAnsi"/>
          <w:sz w:val="24"/>
          <w:szCs w:val="24"/>
          <w:lang w:val="uz-Cyrl-UZ"/>
        </w:rPr>
        <w:t>Ovaj slučaj se odnosio</w:t>
      </w:r>
      <w:r w:rsidRPr="002F126F">
        <w:rPr>
          <w:rFonts w:asciiTheme="majorHAnsi" w:hAnsiTheme="majorHAnsi"/>
          <w:sz w:val="24"/>
          <w:szCs w:val="24"/>
          <w:lang w:val="uz-Cyrl-UZ"/>
        </w:rPr>
        <w:t xml:space="preserve"> na osudu četiri novinara zbog em</w:t>
      </w:r>
      <w:r>
        <w:rPr>
          <w:rFonts w:asciiTheme="majorHAnsi" w:hAnsiTheme="majorHAnsi"/>
          <w:sz w:val="24"/>
          <w:szCs w:val="24"/>
          <w:lang w:val="uz-Cyrl-UZ"/>
        </w:rPr>
        <w:t xml:space="preserve">itovanja intervjua sa brokerom </w:t>
      </w:r>
      <w:r w:rsidRPr="002F126F">
        <w:rPr>
          <w:rFonts w:asciiTheme="majorHAnsi" w:hAnsiTheme="majorHAnsi"/>
          <w:sz w:val="24"/>
          <w:szCs w:val="24"/>
          <w:lang w:val="uz-Cyrl-UZ"/>
        </w:rPr>
        <w:t xml:space="preserve">osiguranja koji je snimljen </w:t>
      </w:r>
      <w:r>
        <w:rPr>
          <w:rFonts w:asciiTheme="majorHAnsi" w:hAnsiTheme="majorHAnsi"/>
          <w:sz w:val="24"/>
          <w:szCs w:val="24"/>
          <w:lang w:val="uz-Cyrl-UZ"/>
        </w:rPr>
        <w:t xml:space="preserve">uz upotrebu skrivene kamere. </w:t>
      </w:r>
      <w:r w:rsidRPr="002F126F">
        <w:rPr>
          <w:rFonts w:asciiTheme="majorHAnsi" w:hAnsiTheme="majorHAnsi"/>
          <w:sz w:val="24"/>
          <w:szCs w:val="24"/>
          <w:lang w:val="uz-Cyrl-UZ"/>
        </w:rPr>
        <w:t>Intervju je bio d</w:t>
      </w:r>
      <w:r>
        <w:rPr>
          <w:rFonts w:asciiTheme="majorHAnsi" w:hAnsiTheme="majorHAnsi"/>
          <w:sz w:val="24"/>
          <w:szCs w:val="24"/>
          <w:lang w:val="uz-Cyrl-UZ"/>
        </w:rPr>
        <w:t>i</w:t>
      </w:r>
      <w:r w:rsidRPr="002F126F">
        <w:rPr>
          <w:rFonts w:asciiTheme="majorHAnsi" w:hAnsiTheme="majorHAnsi"/>
          <w:sz w:val="24"/>
          <w:szCs w:val="24"/>
          <w:lang w:val="uz-Cyrl-UZ"/>
        </w:rPr>
        <w:t xml:space="preserve">o televizijskog dokumentarca </w:t>
      </w:r>
      <w:r>
        <w:rPr>
          <w:rFonts w:asciiTheme="majorHAnsi" w:hAnsiTheme="majorHAnsi"/>
          <w:sz w:val="24"/>
          <w:szCs w:val="24"/>
          <w:lang w:val="uz-Cyrl-UZ"/>
        </w:rPr>
        <w:t xml:space="preserve">u kojem je </w:t>
      </w:r>
      <w:r w:rsidRPr="002F126F">
        <w:rPr>
          <w:rFonts w:asciiTheme="majorHAnsi" w:hAnsiTheme="majorHAnsi"/>
          <w:sz w:val="24"/>
          <w:szCs w:val="24"/>
          <w:lang w:val="uz-Cyrl-UZ"/>
        </w:rPr>
        <w:t>izv</w:t>
      </w:r>
      <w:r>
        <w:rPr>
          <w:rFonts w:asciiTheme="majorHAnsi" w:hAnsiTheme="majorHAnsi"/>
          <w:sz w:val="24"/>
          <w:szCs w:val="24"/>
          <w:lang w:val="uz-Cyrl-UZ"/>
        </w:rPr>
        <w:t>j</w:t>
      </w:r>
      <w:r w:rsidRPr="002F126F">
        <w:rPr>
          <w:rFonts w:asciiTheme="majorHAnsi" w:hAnsiTheme="majorHAnsi"/>
          <w:sz w:val="24"/>
          <w:szCs w:val="24"/>
          <w:lang w:val="uz-Cyrl-UZ"/>
        </w:rPr>
        <w:t>eštava</w:t>
      </w:r>
      <w:r>
        <w:rPr>
          <w:rFonts w:asciiTheme="majorHAnsi" w:hAnsiTheme="majorHAnsi"/>
          <w:sz w:val="24"/>
          <w:szCs w:val="24"/>
          <w:lang w:val="uz-Cyrl-UZ"/>
        </w:rPr>
        <w:t>no o pogrešnim</w:t>
      </w:r>
      <w:r w:rsidRPr="002F126F">
        <w:rPr>
          <w:rFonts w:asciiTheme="majorHAnsi" w:hAnsiTheme="majorHAnsi"/>
          <w:sz w:val="24"/>
          <w:szCs w:val="24"/>
          <w:lang w:val="uz-Cyrl-UZ"/>
        </w:rPr>
        <w:t xml:space="preserve"> </w:t>
      </w:r>
      <w:r>
        <w:rPr>
          <w:rFonts w:asciiTheme="majorHAnsi" w:hAnsiTheme="majorHAnsi"/>
          <w:sz w:val="24"/>
          <w:szCs w:val="24"/>
          <w:lang w:val="uz-Cyrl-UZ"/>
        </w:rPr>
        <w:t>savjetima koje pružaju brokeri životnog osiguranja</w:t>
      </w:r>
      <w:r w:rsidRPr="002F126F">
        <w:rPr>
          <w:rFonts w:asciiTheme="majorHAnsi" w:hAnsiTheme="majorHAnsi"/>
          <w:sz w:val="24"/>
          <w:szCs w:val="24"/>
          <w:lang w:val="uz-Cyrl-UZ"/>
        </w:rPr>
        <w:t xml:space="preserve">, </w:t>
      </w:r>
      <w:r>
        <w:rPr>
          <w:rFonts w:asciiTheme="majorHAnsi" w:hAnsiTheme="majorHAnsi"/>
          <w:sz w:val="24"/>
          <w:szCs w:val="24"/>
          <w:lang w:val="uz-Cyrl-UZ"/>
        </w:rPr>
        <w:t xml:space="preserve">što je u to vrijeme bilo predmet </w:t>
      </w:r>
      <w:r w:rsidRPr="002F126F">
        <w:rPr>
          <w:rFonts w:asciiTheme="majorHAnsi" w:hAnsiTheme="majorHAnsi"/>
          <w:sz w:val="24"/>
          <w:szCs w:val="24"/>
          <w:lang w:val="uz-Cyrl-UZ"/>
        </w:rPr>
        <w:t>javne rasprave u Švajcarskoj</w:t>
      </w:r>
      <w:r>
        <w:rPr>
          <w:rFonts w:asciiTheme="majorHAnsi" w:hAnsiTheme="majorHAnsi"/>
          <w:sz w:val="24"/>
          <w:szCs w:val="24"/>
          <w:lang w:val="uz-Cyrl-UZ"/>
        </w:rPr>
        <w:t xml:space="preserve">. </w:t>
      </w:r>
      <w:r w:rsidRPr="002F126F">
        <w:rPr>
          <w:rFonts w:asciiTheme="majorHAnsi" w:hAnsiTheme="majorHAnsi"/>
          <w:sz w:val="24"/>
          <w:szCs w:val="24"/>
          <w:lang w:val="uz-Cyrl-UZ"/>
        </w:rPr>
        <w:t xml:space="preserve">Broker </w:t>
      </w:r>
      <w:r>
        <w:rPr>
          <w:rFonts w:asciiTheme="majorHAnsi" w:hAnsiTheme="majorHAnsi"/>
          <w:sz w:val="24"/>
          <w:szCs w:val="24"/>
          <w:lang w:val="uz-Cyrl-UZ"/>
        </w:rPr>
        <w:t>je podni</w:t>
      </w:r>
      <w:r w:rsidRPr="002F126F">
        <w:rPr>
          <w:rFonts w:asciiTheme="majorHAnsi" w:hAnsiTheme="majorHAnsi"/>
          <w:sz w:val="24"/>
          <w:szCs w:val="24"/>
          <w:lang w:val="uz-Cyrl-UZ"/>
        </w:rPr>
        <w:t>o zaht</w:t>
      </w:r>
      <w:r>
        <w:rPr>
          <w:rFonts w:asciiTheme="majorHAnsi" w:hAnsiTheme="majorHAnsi"/>
          <w:sz w:val="24"/>
          <w:szCs w:val="24"/>
          <w:lang w:val="uz-Cyrl-UZ"/>
        </w:rPr>
        <w:t>j</w:t>
      </w:r>
      <w:r w:rsidRPr="002F126F">
        <w:rPr>
          <w:rFonts w:asciiTheme="majorHAnsi" w:hAnsiTheme="majorHAnsi"/>
          <w:sz w:val="24"/>
          <w:szCs w:val="24"/>
          <w:lang w:val="uz-Cyrl-UZ"/>
        </w:rPr>
        <w:t>ev za</w:t>
      </w:r>
      <w:r w:rsidR="00AC3C17">
        <w:rPr>
          <w:rFonts w:asciiTheme="majorHAnsi" w:hAnsiTheme="majorHAnsi"/>
          <w:sz w:val="24"/>
          <w:szCs w:val="24"/>
          <w:lang w:val="uz-Cyrl-UZ"/>
        </w:rPr>
        <w:t xml:space="preserve"> </w:t>
      </w:r>
      <w:r>
        <w:rPr>
          <w:rFonts w:asciiTheme="majorHAnsi" w:hAnsiTheme="majorHAnsi"/>
          <w:sz w:val="24"/>
          <w:szCs w:val="24"/>
          <w:lang w:val="uz-Cyrl-UZ"/>
        </w:rPr>
        <w:t>privremenu zabranu emitovanja</w:t>
      </w:r>
      <w:r w:rsidRPr="002F126F">
        <w:rPr>
          <w:rFonts w:asciiTheme="majorHAnsi" w:hAnsiTheme="majorHAnsi"/>
          <w:sz w:val="24"/>
          <w:szCs w:val="24"/>
          <w:lang w:val="uz-Cyrl-UZ"/>
        </w:rPr>
        <w:t xml:space="preserve">, ali </w:t>
      </w:r>
      <w:r>
        <w:rPr>
          <w:rFonts w:asciiTheme="majorHAnsi" w:hAnsiTheme="majorHAnsi"/>
          <w:sz w:val="24"/>
          <w:szCs w:val="24"/>
          <w:lang w:val="uz-Cyrl-UZ"/>
        </w:rPr>
        <w:t xml:space="preserve">je on odbijen </w:t>
      </w:r>
      <w:r w:rsidRPr="002F126F">
        <w:rPr>
          <w:rFonts w:asciiTheme="majorHAnsi" w:hAnsiTheme="majorHAnsi"/>
          <w:sz w:val="24"/>
          <w:szCs w:val="24"/>
          <w:lang w:val="uz-Cyrl-UZ"/>
        </w:rPr>
        <w:t>i</w:t>
      </w:r>
      <w:r>
        <w:rPr>
          <w:rFonts w:asciiTheme="majorHAnsi" w:hAnsiTheme="majorHAnsi"/>
          <w:sz w:val="24"/>
          <w:szCs w:val="24"/>
          <w:lang w:val="uz-Cyrl-UZ"/>
        </w:rPr>
        <w:t xml:space="preserve"> kada je program emitovan, podni</w:t>
      </w:r>
      <w:r w:rsidRPr="002F126F">
        <w:rPr>
          <w:rFonts w:asciiTheme="majorHAnsi" w:hAnsiTheme="majorHAnsi"/>
          <w:sz w:val="24"/>
          <w:szCs w:val="24"/>
          <w:lang w:val="uz-Cyrl-UZ"/>
        </w:rPr>
        <w:t xml:space="preserve">o je </w:t>
      </w:r>
      <w:r>
        <w:rPr>
          <w:rFonts w:asciiTheme="majorHAnsi" w:hAnsiTheme="majorHAnsi"/>
          <w:sz w:val="24"/>
          <w:szCs w:val="24"/>
          <w:lang w:val="uz-Cyrl-UZ"/>
        </w:rPr>
        <w:t xml:space="preserve">prijavu </w:t>
      </w:r>
      <w:r w:rsidRPr="002F126F">
        <w:rPr>
          <w:rFonts w:asciiTheme="majorHAnsi" w:hAnsiTheme="majorHAnsi"/>
          <w:sz w:val="24"/>
          <w:szCs w:val="24"/>
          <w:lang w:val="uz-Cyrl-UZ"/>
        </w:rPr>
        <w:t xml:space="preserve">policiji zbog </w:t>
      </w:r>
      <w:r>
        <w:rPr>
          <w:rFonts w:asciiTheme="majorHAnsi" w:hAnsiTheme="majorHAnsi"/>
          <w:sz w:val="24"/>
          <w:szCs w:val="24"/>
          <w:lang w:val="uz-Cyrl-UZ"/>
        </w:rPr>
        <w:t xml:space="preserve">narušavanja </w:t>
      </w:r>
      <w:r w:rsidRPr="002F126F">
        <w:rPr>
          <w:rFonts w:asciiTheme="majorHAnsi" w:hAnsiTheme="majorHAnsi"/>
          <w:sz w:val="24"/>
          <w:szCs w:val="24"/>
          <w:lang w:val="uz-Cyrl-UZ"/>
        </w:rPr>
        <w:t xml:space="preserve">privatnosti </w:t>
      </w:r>
      <w:r>
        <w:rPr>
          <w:rFonts w:asciiTheme="majorHAnsi" w:hAnsiTheme="majorHAnsi"/>
          <w:sz w:val="24"/>
          <w:szCs w:val="24"/>
          <w:lang w:val="uz-Cyrl-UZ"/>
        </w:rPr>
        <w:t>–</w:t>
      </w:r>
      <w:r w:rsidRPr="002F126F">
        <w:rPr>
          <w:rFonts w:asciiTheme="majorHAnsi" w:hAnsiTheme="majorHAnsi"/>
          <w:sz w:val="24"/>
          <w:szCs w:val="24"/>
          <w:lang w:val="uz-Cyrl-UZ"/>
        </w:rPr>
        <w:t xml:space="preserve"> </w:t>
      </w:r>
      <w:r>
        <w:rPr>
          <w:rFonts w:asciiTheme="majorHAnsi" w:hAnsiTheme="majorHAnsi"/>
          <w:sz w:val="24"/>
          <w:szCs w:val="24"/>
          <w:lang w:val="uz-Cyrl-UZ"/>
        </w:rPr>
        <w:t xml:space="preserve">što je </w:t>
      </w:r>
      <w:r w:rsidRPr="002F126F">
        <w:rPr>
          <w:rFonts w:asciiTheme="majorHAnsi" w:hAnsiTheme="majorHAnsi"/>
          <w:sz w:val="24"/>
          <w:szCs w:val="24"/>
          <w:lang w:val="uz-Cyrl-UZ"/>
        </w:rPr>
        <w:t>krivično djelo prema švajcarskom zakonu.</w:t>
      </w:r>
      <w:r>
        <w:rPr>
          <w:rFonts w:asciiTheme="majorHAnsi" w:hAnsiTheme="majorHAnsi"/>
          <w:sz w:val="24"/>
          <w:szCs w:val="24"/>
          <w:lang w:val="uz-Cyrl-UZ"/>
        </w:rPr>
        <w:t xml:space="preserve"> </w:t>
      </w:r>
      <w:r w:rsidRPr="00DF1D00">
        <w:rPr>
          <w:rFonts w:asciiTheme="majorHAnsi" w:hAnsiTheme="majorHAnsi"/>
          <w:sz w:val="24"/>
          <w:szCs w:val="24"/>
          <w:lang w:val="uz-Cyrl-UZ"/>
        </w:rPr>
        <w:t>Iako su novinari oslobođeni u prvom stepenu</w:t>
      </w:r>
      <w:r>
        <w:rPr>
          <w:rFonts w:asciiTheme="majorHAnsi" w:hAnsiTheme="majorHAnsi"/>
          <w:sz w:val="24"/>
          <w:szCs w:val="24"/>
          <w:lang w:val="uz-Cyrl-UZ"/>
        </w:rPr>
        <w:t xml:space="preserve"> i iako je zahtjev za zabranu emitovanja odbijen</w:t>
      </w:r>
      <w:r w:rsidRPr="00DF1D00">
        <w:rPr>
          <w:rFonts w:asciiTheme="majorHAnsi" w:hAnsiTheme="majorHAnsi"/>
          <w:sz w:val="24"/>
          <w:szCs w:val="24"/>
          <w:lang w:val="uz-Cyrl-UZ"/>
        </w:rPr>
        <w:t xml:space="preserve">, oni su osuđeni </w:t>
      </w:r>
      <w:r>
        <w:rPr>
          <w:rFonts w:asciiTheme="majorHAnsi" w:hAnsiTheme="majorHAnsi"/>
          <w:sz w:val="24"/>
          <w:szCs w:val="24"/>
          <w:lang w:val="uz-Cyrl-UZ"/>
        </w:rPr>
        <w:t xml:space="preserve">nakon žalbe </w:t>
      </w:r>
      <w:r w:rsidRPr="00DF1D00">
        <w:rPr>
          <w:rFonts w:asciiTheme="majorHAnsi" w:hAnsiTheme="majorHAnsi"/>
          <w:sz w:val="24"/>
          <w:szCs w:val="24"/>
          <w:lang w:val="uz-Cyrl-UZ"/>
        </w:rPr>
        <w:t xml:space="preserve">i </w:t>
      </w:r>
      <w:r>
        <w:rPr>
          <w:rFonts w:asciiTheme="majorHAnsi" w:hAnsiTheme="majorHAnsi"/>
          <w:sz w:val="24"/>
          <w:szCs w:val="24"/>
          <w:lang w:val="uz-Cyrl-UZ"/>
        </w:rPr>
        <w:t>dosuđena im je novčana kazna</w:t>
      </w:r>
      <w:r w:rsidRPr="00DF1D00">
        <w:rPr>
          <w:rFonts w:asciiTheme="majorHAnsi" w:hAnsiTheme="majorHAnsi"/>
          <w:sz w:val="24"/>
          <w:szCs w:val="24"/>
          <w:lang w:val="uz-Cyrl-UZ"/>
        </w:rPr>
        <w:t xml:space="preserve"> </w:t>
      </w:r>
      <w:r>
        <w:rPr>
          <w:rFonts w:asciiTheme="majorHAnsi" w:hAnsiTheme="majorHAnsi"/>
          <w:sz w:val="24"/>
          <w:szCs w:val="24"/>
          <w:lang w:val="uz-Cyrl-UZ"/>
        </w:rPr>
        <w:t xml:space="preserve">po osnovu toga što </w:t>
      </w:r>
      <w:r w:rsidRPr="00DF1D00">
        <w:rPr>
          <w:rFonts w:asciiTheme="majorHAnsi" w:hAnsiTheme="majorHAnsi"/>
          <w:sz w:val="24"/>
          <w:szCs w:val="24"/>
          <w:lang w:val="uz-Cyrl-UZ"/>
        </w:rPr>
        <w:t>upotreb</w:t>
      </w:r>
      <w:r>
        <w:rPr>
          <w:rFonts w:asciiTheme="majorHAnsi" w:hAnsiTheme="majorHAnsi"/>
          <w:sz w:val="24"/>
          <w:szCs w:val="24"/>
          <w:lang w:val="uz-Cyrl-UZ"/>
        </w:rPr>
        <w:t>a skrivene kamere nije bila strogo „neophodna“ za program. Novinari su se žalili švajcarskom Saveznom sudu</w:t>
      </w:r>
      <w:r w:rsidRPr="00DF1D00">
        <w:rPr>
          <w:rFonts w:asciiTheme="majorHAnsi" w:hAnsiTheme="majorHAnsi"/>
          <w:sz w:val="24"/>
          <w:szCs w:val="24"/>
          <w:lang w:val="uz-Cyrl-UZ"/>
        </w:rPr>
        <w:t xml:space="preserve">, a </w:t>
      </w:r>
      <w:r>
        <w:rPr>
          <w:rFonts w:asciiTheme="majorHAnsi" w:hAnsiTheme="majorHAnsi"/>
          <w:sz w:val="24"/>
          <w:szCs w:val="24"/>
          <w:lang w:val="uz-Cyrl-UZ"/>
        </w:rPr>
        <w:t xml:space="preserve">nakon toga i </w:t>
      </w:r>
      <w:r w:rsidRPr="00DF1D00">
        <w:rPr>
          <w:rFonts w:asciiTheme="majorHAnsi" w:hAnsiTheme="majorHAnsi"/>
          <w:sz w:val="24"/>
          <w:szCs w:val="24"/>
          <w:lang w:val="uz-Cyrl-UZ"/>
        </w:rPr>
        <w:t>E</w:t>
      </w:r>
      <w:r>
        <w:rPr>
          <w:rFonts w:asciiTheme="majorHAnsi" w:hAnsiTheme="majorHAnsi"/>
          <w:sz w:val="24"/>
          <w:szCs w:val="24"/>
          <w:lang w:val="uz-Cyrl-UZ"/>
        </w:rPr>
        <w:t>vropskom sudu za ljudska prava.</w:t>
      </w:r>
    </w:p>
    <w:p w:rsidR="006A066A" w:rsidRDefault="006A066A" w:rsidP="006A066A">
      <w:pPr>
        <w:jc w:val="both"/>
        <w:rPr>
          <w:rFonts w:asciiTheme="majorHAnsi" w:hAnsiTheme="majorHAnsi"/>
          <w:sz w:val="24"/>
          <w:szCs w:val="24"/>
          <w:lang w:val="uz-Cyrl-UZ"/>
        </w:rPr>
      </w:pPr>
      <w:r w:rsidRPr="00DF1D00">
        <w:rPr>
          <w:rFonts w:asciiTheme="majorHAnsi" w:hAnsiTheme="majorHAnsi"/>
          <w:sz w:val="24"/>
          <w:szCs w:val="24"/>
          <w:lang w:val="uz-Cyrl-UZ"/>
        </w:rPr>
        <w:t>Sud je prvo pot</w:t>
      </w:r>
      <w:r>
        <w:rPr>
          <w:rFonts w:asciiTheme="majorHAnsi" w:hAnsiTheme="majorHAnsi"/>
          <w:sz w:val="24"/>
          <w:szCs w:val="24"/>
          <w:lang w:val="uz-Cyrl-UZ"/>
        </w:rPr>
        <w:t>vrdio svoja „opšta načela“</w:t>
      </w:r>
      <w:r w:rsidRPr="00DF1D00">
        <w:rPr>
          <w:rFonts w:asciiTheme="majorHAnsi" w:hAnsiTheme="majorHAnsi"/>
          <w:sz w:val="24"/>
          <w:szCs w:val="24"/>
          <w:lang w:val="uz-Cyrl-UZ"/>
        </w:rPr>
        <w:t xml:space="preserve"> slobode izražavanja i narušavanj</w:t>
      </w:r>
      <w:r>
        <w:rPr>
          <w:rFonts w:asciiTheme="majorHAnsi" w:hAnsiTheme="majorHAnsi"/>
          <w:sz w:val="24"/>
          <w:szCs w:val="24"/>
          <w:lang w:val="uz-Cyrl-UZ"/>
        </w:rPr>
        <w:t>a</w:t>
      </w:r>
      <w:r w:rsidRPr="00DF1D00">
        <w:rPr>
          <w:rFonts w:asciiTheme="majorHAnsi" w:hAnsiTheme="majorHAnsi"/>
          <w:sz w:val="24"/>
          <w:szCs w:val="24"/>
          <w:lang w:val="uz-Cyrl-UZ"/>
        </w:rPr>
        <w:t xml:space="preserve"> privatnosti, naglašavajući značaj prava na slobodu izražavanja, kao i dužnosti </w:t>
      </w:r>
      <w:r>
        <w:rPr>
          <w:rFonts w:asciiTheme="majorHAnsi" w:hAnsiTheme="majorHAnsi"/>
          <w:sz w:val="24"/>
          <w:szCs w:val="24"/>
          <w:lang w:val="uz-Cyrl-UZ"/>
        </w:rPr>
        <w:t>novinara</w:t>
      </w:r>
      <w:r w:rsidRPr="00DF1D00">
        <w:rPr>
          <w:rFonts w:asciiTheme="majorHAnsi" w:hAnsiTheme="majorHAnsi"/>
          <w:sz w:val="24"/>
          <w:szCs w:val="24"/>
          <w:lang w:val="uz-Cyrl-UZ"/>
        </w:rPr>
        <w:t xml:space="preserve"> da se ponašaju etič</w:t>
      </w:r>
      <w:r w:rsidR="004C3ECD">
        <w:rPr>
          <w:rFonts w:asciiTheme="majorHAnsi" w:hAnsiTheme="majorHAnsi"/>
          <w:sz w:val="24"/>
          <w:szCs w:val="24"/>
          <w:lang w:val="uz-Cyrl-UZ"/>
        </w:rPr>
        <w:t>no</w:t>
      </w:r>
      <w:r w:rsidRPr="00DF1D00">
        <w:rPr>
          <w:rFonts w:asciiTheme="majorHAnsi" w:hAnsiTheme="majorHAnsi"/>
          <w:sz w:val="24"/>
          <w:szCs w:val="24"/>
          <w:lang w:val="uz-Cyrl-UZ"/>
        </w:rPr>
        <w:t>. U slučajevima koji se odnose na ugrožavanje privatnosti javnih ličnosti, šest kriterijuma</w:t>
      </w:r>
      <w:r>
        <w:rPr>
          <w:rFonts w:asciiTheme="majorHAnsi" w:hAnsiTheme="majorHAnsi"/>
          <w:sz w:val="24"/>
          <w:szCs w:val="24"/>
          <w:lang w:val="uz-Cyrl-UZ"/>
        </w:rPr>
        <w:t xml:space="preserve"> </w:t>
      </w:r>
      <w:r w:rsidR="00AC3C17">
        <w:rPr>
          <w:rFonts w:asciiTheme="majorHAnsi" w:hAnsiTheme="majorHAnsi"/>
          <w:sz w:val="24"/>
          <w:szCs w:val="24"/>
          <w:lang w:val="uz-Cyrl-UZ"/>
        </w:rPr>
        <w:t xml:space="preserve">je </w:t>
      </w:r>
      <w:r w:rsidRPr="00DF1D00">
        <w:rPr>
          <w:rFonts w:asciiTheme="majorHAnsi" w:hAnsiTheme="majorHAnsi"/>
          <w:sz w:val="24"/>
          <w:szCs w:val="24"/>
          <w:lang w:val="uz-Cyrl-UZ"/>
        </w:rPr>
        <w:t xml:space="preserve">posebno </w:t>
      </w:r>
      <w:r>
        <w:rPr>
          <w:rFonts w:asciiTheme="majorHAnsi" w:hAnsiTheme="majorHAnsi"/>
          <w:sz w:val="24"/>
          <w:szCs w:val="24"/>
          <w:lang w:val="uz-Cyrl-UZ"/>
        </w:rPr>
        <w:t>relevantn</w:t>
      </w:r>
      <w:r w:rsidR="00AC3C17">
        <w:rPr>
          <w:rFonts w:asciiTheme="majorHAnsi" w:hAnsiTheme="majorHAnsi"/>
          <w:sz w:val="24"/>
          <w:szCs w:val="24"/>
          <w:lang w:val="uz-Cyrl-UZ"/>
        </w:rPr>
        <w:t>o</w:t>
      </w:r>
      <w:r>
        <w:rPr>
          <w:rFonts w:asciiTheme="majorHAnsi" w:hAnsiTheme="majorHAnsi"/>
          <w:sz w:val="24"/>
          <w:szCs w:val="24"/>
          <w:lang w:val="uz-Cyrl-UZ"/>
        </w:rPr>
        <w:t>: (1) stepen do kojeg je priča doprinijela raspravi od javnog interesa; (2) ugled osobe o kojoj je izvještavano i svrha</w:t>
      </w:r>
      <w:r w:rsidR="00AC3C17">
        <w:rPr>
          <w:rFonts w:asciiTheme="majorHAnsi" w:hAnsiTheme="majorHAnsi"/>
          <w:sz w:val="24"/>
          <w:szCs w:val="24"/>
          <w:lang w:val="uz-Cyrl-UZ"/>
        </w:rPr>
        <w:t xml:space="preserve"> p</w:t>
      </w:r>
      <w:r>
        <w:rPr>
          <w:rFonts w:asciiTheme="majorHAnsi" w:hAnsiTheme="majorHAnsi"/>
          <w:sz w:val="24"/>
          <w:szCs w:val="24"/>
          <w:lang w:val="uz-Cyrl-UZ"/>
        </w:rPr>
        <w:t>riloga;</w:t>
      </w:r>
      <w:r w:rsidRPr="00DF1D00">
        <w:rPr>
          <w:rFonts w:asciiTheme="majorHAnsi" w:hAnsiTheme="majorHAnsi"/>
          <w:sz w:val="24"/>
          <w:szCs w:val="24"/>
          <w:lang w:val="uz-Cyrl-UZ"/>
        </w:rPr>
        <w:t xml:space="preserve"> </w:t>
      </w:r>
      <w:r>
        <w:rPr>
          <w:rFonts w:asciiTheme="majorHAnsi" w:hAnsiTheme="majorHAnsi"/>
          <w:sz w:val="24"/>
          <w:szCs w:val="24"/>
          <w:lang w:val="uz-Cyrl-UZ"/>
        </w:rPr>
        <w:t xml:space="preserve">(3) </w:t>
      </w:r>
      <w:r w:rsidRPr="00DF1D00">
        <w:rPr>
          <w:rFonts w:asciiTheme="majorHAnsi" w:hAnsiTheme="majorHAnsi"/>
          <w:sz w:val="24"/>
          <w:szCs w:val="24"/>
          <w:lang w:val="uz-Cyrl-UZ"/>
        </w:rPr>
        <w:t xml:space="preserve">ranije ponašanje osobe </w:t>
      </w:r>
      <w:r>
        <w:rPr>
          <w:rFonts w:asciiTheme="majorHAnsi" w:hAnsiTheme="majorHAnsi"/>
          <w:sz w:val="24"/>
          <w:szCs w:val="24"/>
          <w:lang w:val="uz-Cyrl-UZ"/>
        </w:rPr>
        <w:t xml:space="preserve">o kojoj je izvještavano; (4) metoda kojom je pribavljena informacija; (5) </w:t>
      </w:r>
      <w:r w:rsidRPr="00DF1D00">
        <w:rPr>
          <w:rFonts w:asciiTheme="majorHAnsi" w:hAnsiTheme="majorHAnsi"/>
          <w:sz w:val="24"/>
          <w:szCs w:val="24"/>
          <w:lang w:val="uz-Cyrl-UZ"/>
        </w:rPr>
        <w:t xml:space="preserve">sadržaj, oblik i uticaj </w:t>
      </w:r>
      <w:r w:rsidR="00AC3C17">
        <w:rPr>
          <w:rFonts w:asciiTheme="majorHAnsi" w:hAnsiTheme="majorHAnsi"/>
          <w:sz w:val="24"/>
          <w:szCs w:val="24"/>
          <w:lang w:val="uz-Cyrl-UZ"/>
        </w:rPr>
        <w:t>priloga; (6) težina izrečene</w:t>
      </w:r>
      <w:r>
        <w:rPr>
          <w:rFonts w:asciiTheme="majorHAnsi" w:hAnsiTheme="majorHAnsi"/>
          <w:sz w:val="24"/>
          <w:szCs w:val="24"/>
          <w:lang w:val="uz-Cyrl-UZ"/>
        </w:rPr>
        <w:t xml:space="preserve"> sankcije.</w:t>
      </w:r>
    </w:p>
    <w:p w:rsidR="004C3ECD" w:rsidRDefault="006A066A" w:rsidP="006A066A">
      <w:pPr>
        <w:jc w:val="both"/>
        <w:rPr>
          <w:rFonts w:asciiTheme="majorHAnsi" w:hAnsiTheme="majorHAnsi"/>
          <w:sz w:val="24"/>
          <w:szCs w:val="24"/>
          <w:lang w:val="uz-Cyrl-UZ"/>
        </w:rPr>
      </w:pPr>
      <w:r w:rsidRPr="00B44488">
        <w:rPr>
          <w:rFonts w:asciiTheme="majorHAnsi" w:hAnsiTheme="majorHAnsi"/>
          <w:sz w:val="24"/>
          <w:szCs w:val="24"/>
          <w:lang w:val="uz-Cyrl-UZ"/>
        </w:rPr>
        <w:t>Primjen</w:t>
      </w:r>
      <w:r>
        <w:rPr>
          <w:rFonts w:asciiTheme="majorHAnsi" w:hAnsiTheme="majorHAnsi"/>
          <w:sz w:val="24"/>
          <w:szCs w:val="24"/>
          <w:lang w:val="uz-Cyrl-UZ"/>
        </w:rPr>
        <w:t xml:space="preserve">om ovih kriterijuma </w:t>
      </w:r>
      <w:r w:rsidRPr="00B44488">
        <w:rPr>
          <w:rFonts w:asciiTheme="majorHAnsi" w:hAnsiTheme="majorHAnsi"/>
          <w:sz w:val="24"/>
          <w:szCs w:val="24"/>
          <w:lang w:val="uz-Cyrl-UZ"/>
        </w:rPr>
        <w:t>Sud je utvrdio da, iako broker osiguranja nije bio javna ličnost, novinari su jasno pokušavali da izv</w:t>
      </w:r>
      <w:r>
        <w:rPr>
          <w:rFonts w:asciiTheme="majorHAnsi" w:hAnsiTheme="majorHAnsi"/>
          <w:sz w:val="24"/>
          <w:szCs w:val="24"/>
          <w:lang w:val="uz-Cyrl-UZ"/>
        </w:rPr>
        <w:t>j</w:t>
      </w:r>
      <w:r w:rsidRPr="00B44488">
        <w:rPr>
          <w:rFonts w:asciiTheme="majorHAnsi" w:hAnsiTheme="majorHAnsi"/>
          <w:sz w:val="24"/>
          <w:szCs w:val="24"/>
          <w:lang w:val="uz-Cyrl-UZ"/>
        </w:rPr>
        <w:t xml:space="preserve">eštavaju o pitanju od opšteg interesa: </w:t>
      </w:r>
      <w:r>
        <w:rPr>
          <w:rFonts w:asciiTheme="majorHAnsi" w:hAnsiTheme="majorHAnsi"/>
          <w:sz w:val="24"/>
          <w:szCs w:val="24"/>
          <w:lang w:val="uz-Cyrl-UZ"/>
        </w:rPr>
        <w:t xml:space="preserve">prevarama prilikom prodaje </w:t>
      </w:r>
      <w:r w:rsidRPr="00B44488">
        <w:rPr>
          <w:rFonts w:asciiTheme="majorHAnsi" w:hAnsiTheme="majorHAnsi"/>
          <w:sz w:val="24"/>
          <w:szCs w:val="24"/>
          <w:lang w:val="uz-Cyrl-UZ"/>
        </w:rPr>
        <w:t xml:space="preserve">osiguranja. </w:t>
      </w:r>
      <w:r>
        <w:rPr>
          <w:rFonts w:asciiTheme="majorHAnsi" w:hAnsiTheme="majorHAnsi"/>
          <w:sz w:val="24"/>
          <w:szCs w:val="24"/>
          <w:lang w:val="uz-Cyrl-UZ"/>
        </w:rPr>
        <w:t xml:space="preserve">Pri tom, </w:t>
      </w:r>
      <w:r w:rsidRPr="00B44488">
        <w:rPr>
          <w:rFonts w:asciiTheme="majorHAnsi" w:hAnsiTheme="majorHAnsi"/>
          <w:sz w:val="24"/>
          <w:szCs w:val="24"/>
          <w:lang w:val="uz-Cyrl-UZ"/>
        </w:rPr>
        <w:t>njihov cilj nije</w:t>
      </w:r>
      <w:r>
        <w:rPr>
          <w:rFonts w:asciiTheme="majorHAnsi" w:hAnsiTheme="majorHAnsi"/>
          <w:sz w:val="24"/>
          <w:szCs w:val="24"/>
          <w:lang w:val="uz-Cyrl-UZ"/>
        </w:rPr>
        <w:t xml:space="preserve"> bio da napadnu brokera lično, </w:t>
      </w:r>
      <w:r w:rsidRPr="00B44488">
        <w:rPr>
          <w:rFonts w:asciiTheme="majorHAnsi" w:hAnsiTheme="majorHAnsi"/>
          <w:sz w:val="24"/>
          <w:szCs w:val="24"/>
          <w:lang w:val="uz-Cyrl-UZ"/>
        </w:rPr>
        <w:t xml:space="preserve">već </w:t>
      </w:r>
      <w:r>
        <w:rPr>
          <w:rFonts w:asciiTheme="majorHAnsi" w:hAnsiTheme="majorHAnsi"/>
          <w:sz w:val="24"/>
          <w:szCs w:val="24"/>
          <w:lang w:val="uz-Cyrl-UZ"/>
        </w:rPr>
        <w:t xml:space="preserve">im je on poslužio </w:t>
      </w:r>
      <w:r w:rsidRPr="00B44488">
        <w:rPr>
          <w:rFonts w:asciiTheme="majorHAnsi" w:hAnsiTheme="majorHAnsi"/>
          <w:sz w:val="24"/>
          <w:szCs w:val="24"/>
          <w:lang w:val="uz-Cyrl-UZ"/>
        </w:rPr>
        <w:t>kao prim</w:t>
      </w:r>
      <w:r>
        <w:rPr>
          <w:rFonts w:asciiTheme="majorHAnsi" w:hAnsiTheme="majorHAnsi"/>
          <w:sz w:val="24"/>
          <w:szCs w:val="24"/>
          <w:lang w:val="uz-Cyrl-UZ"/>
        </w:rPr>
        <w:t>jer za ilustraciju šireg</w:t>
      </w:r>
      <w:r w:rsidRPr="00B44488">
        <w:rPr>
          <w:rFonts w:asciiTheme="majorHAnsi" w:hAnsiTheme="majorHAnsi"/>
          <w:sz w:val="24"/>
          <w:szCs w:val="24"/>
          <w:lang w:val="uz-Cyrl-UZ"/>
        </w:rPr>
        <w:t xml:space="preserve"> problem</w:t>
      </w:r>
      <w:r>
        <w:rPr>
          <w:rFonts w:asciiTheme="majorHAnsi" w:hAnsiTheme="majorHAnsi"/>
          <w:sz w:val="24"/>
          <w:szCs w:val="24"/>
          <w:lang w:val="uz-Cyrl-UZ"/>
        </w:rPr>
        <w:t>a</w:t>
      </w:r>
      <w:r w:rsidRPr="00B44488">
        <w:rPr>
          <w:rFonts w:asciiTheme="majorHAnsi" w:hAnsiTheme="majorHAnsi"/>
          <w:sz w:val="24"/>
          <w:szCs w:val="24"/>
          <w:lang w:val="uz-Cyrl-UZ"/>
        </w:rPr>
        <w:t>.</w:t>
      </w:r>
      <w:r>
        <w:rPr>
          <w:rFonts w:asciiTheme="majorHAnsi" w:hAnsiTheme="majorHAnsi"/>
          <w:sz w:val="24"/>
          <w:szCs w:val="24"/>
          <w:lang w:val="uz-Cyrl-UZ"/>
        </w:rPr>
        <w:t xml:space="preserve"> </w:t>
      </w:r>
    </w:p>
    <w:p w:rsidR="006A066A" w:rsidRDefault="006A066A" w:rsidP="006A066A">
      <w:pPr>
        <w:jc w:val="both"/>
        <w:rPr>
          <w:rFonts w:asciiTheme="majorHAnsi" w:hAnsiTheme="majorHAnsi"/>
          <w:sz w:val="24"/>
          <w:szCs w:val="24"/>
          <w:lang w:val="uz-Cyrl-UZ"/>
        </w:rPr>
      </w:pPr>
      <w:r w:rsidRPr="00B44488">
        <w:rPr>
          <w:rFonts w:asciiTheme="majorHAnsi" w:hAnsiTheme="majorHAnsi"/>
          <w:sz w:val="24"/>
          <w:szCs w:val="24"/>
          <w:lang w:val="uz-Cyrl-UZ"/>
        </w:rPr>
        <w:t>Istovremeno, Sud je smatrao da</w:t>
      </w:r>
      <w:r>
        <w:rPr>
          <w:rFonts w:asciiTheme="majorHAnsi" w:hAnsiTheme="majorHAnsi"/>
          <w:sz w:val="24"/>
          <w:szCs w:val="24"/>
          <w:lang w:val="uz-Cyrl-UZ"/>
        </w:rPr>
        <w:t xml:space="preserve"> je broker opravdano očekivao poštovanje privatnosti</w:t>
      </w:r>
      <w:r w:rsidRPr="00B44488">
        <w:rPr>
          <w:rFonts w:asciiTheme="majorHAnsi" w:hAnsiTheme="majorHAnsi"/>
          <w:sz w:val="24"/>
          <w:szCs w:val="24"/>
          <w:lang w:val="uz-Cyrl-UZ"/>
        </w:rPr>
        <w:t xml:space="preserve">. On nije bio javna ličnost, </w:t>
      </w:r>
      <w:r>
        <w:rPr>
          <w:rFonts w:asciiTheme="majorHAnsi" w:hAnsiTheme="majorHAnsi"/>
          <w:sz w:val="24"/>
          <w:szCs w:val="24"/>
          <w:lang w:val="uz-Cyrl-UZ"/>
        </w:rPr>
        <w:t xml:space="preserve">i </w:t>
      </w:r>
      <w:r w:rsidRPr="00B44488">
        <w:rPr>
          <w:rFonts w:asciiTheme="majorHAnsi" w:hAnsiTheme="majorHAnsi"/>
          <w:sz w:val="24"/>
          <w:szCs w:val="24"/>
          <w:lang w:val="uz-Cyrl-UZ"/>
        </w:rPr>
        <w:t xml:space="preserve">nije pristao da bude snimljen. </w:t>
      </w:r>
      <w:r>
        <w:rPr>
          <w:rFonts w:asciiTheme="majorHAnsi" w:hAnsiTheme="majorHAnsi"/>
          <w:sz w:val="24"/>
          <w:szCs w:val="24"/>
          <w:lang w:val="uz-Cyrl-UZ"/>
        </w:rPr>
        <w:t xml:space="preserve">Nasuprot tome stoji </w:t>
      </w:r>
      <w:r w:rsidRPr="00B44488">
        <w:rPr>
          <w:rFonts w:asciiTheme="majorHAnsi" w:hAnsiTheme="majorHAnsi"/>
          <w:sz w:val="24"/>
          <w:szCs w:val="24"/>
          <w:lang w:val="uz-Cyrl-UZ"/>
        </w:rPr>
        <w:t>činjenica</w:t>
      </w:r>
      <w:r>
        <w:rPr>
          <w:rFonts w:asciiTheme="majorHAnsi" w:hAnsiTheme="majorHAnsi"/>
          <w:sz w:val="24"/>
          <w:szCs w:val="24"/>
          <w:lang w:val="uz-Cyrl-UZ"/>
        </w:rPr>
        <w:t xml:space="preserve"> da on </w:t>
      </w:r>
      <w:r w:rsidRPr="00B44488">
        <w:rPr>
          <w:rFonts w:asciiTheme="majorHAnsi" w:hAnsiTheme="majorHAnsi"/>
          <w:sz w:val="24"/>
          <w:szCs w:val="24"/>
          <w:lang w:val="uz-Cyrl-UZ"/>
        </w:rPr>
        <w:t xml:space="preserve">nije bio jedini </w:t>
      </w:r>
      <w:r>
        <w:rPr>
          <w:rFonts w:asciiTheme="majorHAnsi" w:hAnsiTheme="majorHAnsi"/>
          <w:sz w:val="24"/>
          <w:szCs w:val="24"/>
          <w:lang w:val="uz-Cyrl-UZ"/>
        </w:rPr>
        <w:t xml:space="preserve">predmet </w:t>
      </w:r>
      <w:r w:rsidRPr="00B44488">
        <w:rPr>
          <w:rFonts w:asciiTheme="majorHAnsi" w:hAnsiTheme="majorHAnsi"/>
          <w:sz w:val="24"/>
          <w:szCs w:val="24"/>
          <w:lang w:val="uz-Cyrl-UZ"/>
        </w:rPr>
        <w:t>izv</w:t>
      </w:r>
      <w:r>
        <w:rPr>
          <w:rFonts w:asciiTheme="majorHAnsi" w:hAnsiTheme="majorHAnsi"/>
          <w:sz w:val="24"/>
          <w:szCs w:val="24"/>
          <w:lang w:val="uz-Cyrl-UZ"/>
        </w:rPr>
        <w:t>j</w:t>
      </w:r>
      <w:r w:rsidRPr="00B44488">
        <w:rPr>
          <w:rFonts w:asciiTheme="majorHAnsi" w:hAnsiTheme="majorHAnsi"/>
          <w:sz w:val="24"/>
          <w:szCs w:val="24"/>
          <w:lang w:val="uz-Cyrl-UZ"/>
        </w:rPr>
        <w:t xml:space="preserve">eštaja, koji </w:t>
      </w:r>
      <w:r>
        <w:rPr>
          <w:rFonts w:asciiTheme="majorHAnsi" w:hAnsiTheme="majorHAnsi"/>
          <w:sz w:val="24"/>
          <w:szCs w:val="24"/>
          <w:lang w:val="uz-Cyrl-UZ"/>
        </w:rPr>
        <w:t xml:space="preserve">se </w:t>
      </w:r>
      <w:r w:rsidRPr="00B44488">
        <w:rPr>
          <w:rFonts w:asciiTheme="majorHAnsi" w:hAnsiTheme="majorHAnsi"/>
          <w:sz w:val="24"/>
          <w:szCs w:val="24"/>
          <w:lang w:val="uz-Cyrl-UZ"/>
        </w:rPr>
        <w:t>fokusir</w:t>
      </w:r>
      <w:r>
        <w:rPr>
          <w:rFonts w:asciiTheme="majorHAnsi" w:hAnsiTheme="majorHAnsi"/>
          <w:sz w:val="24"/>
          <w:szCs w:val="24"/>
          <w:lang w:val="uz-Cyrl-UZ"/>
        </w:rPr>
        <w:t>ao</w:t>
      </w:r>
      <w:r w:rsidRPr="00B44488">
        <w:rPr>
          <w:rFonts w:asciiTheme="majorHAnsi" w:hAnsiTheme="majorHAnsi"/>
          <w:sz w:val="24"/>
          <w:szCs w:val="24"/>
          <w:lang w:val="uz-Cyrl-UZ"/>
        </w:rPr>
        <w:t xml:space="preserve"> na</w:t>
      </w:r>
      <w:r>
        <w:rPr>
          <w:rFonts w:asciiTheme="majorHAnsi" w:hAnsiTheme="majorHAnsi"/>
          <w:sz w:val="24"/>
          <w:szCs w:val="24"/>
          <w:lang w:val="uz-Cyrl-UZ"/>
        </w:rPr>
        <w:t xml:space="preserve"> zloupotrebe prilikom prodaje osiguranja</w:t>
      </w:r>
      <w:r w:rsidRPr="00B44488">
        <w:rPr>
          <w:rFonts w:asciiTheme="majorHAnsi" w:hAnsiTheme="majorHAnsi"/>
          <w:sz w:val="24"/>
          <w:szCs w:val="24"/>
          <w:lang w:val="uz-Cyrl-UZ"/>
        </w:rPr>
        <w:t xml:space="preserve">, </w:t>
      </w:r>
      <w:r>
        <w:rPr>
          <w:rFonts w:asciiTheme="majorHAnsi" w:hAnsiTheme="majorHAnsi"/>
          <w:sz w:val="24"/>
          <w:szCs w:val="24"/>
          <w:lang w:val="uz-Cyrl-UZ"/>
        </w:rPr>
        <w:t xml:space="preserve">kao </w:t>
      </w:r>
      <w:r w:rsidRPr="00B44488">
        <w:rPr>
          <w:rFonts w:asciiTheme="majorHAnsi" w:hAnsiTheme="majorHAnsi"/>
          <w:sz w:val="24"/>
          <w:szCs w:val="24"/>
          <w:lang w:val="uz-Cyrl-UZ"/>
        </w:rPr>
        <w:t xml:space="preserve">i da nije bio </w:t>
      </w:r>
      <w:r>
        <w:rPr>
          <w:rFonts w:asciiTheme="majorHAnsi" w:hAnsiTheme="majorHAnsi"/>
          <w:sz w:val="24"/>
          <w:szCs w:val="24"/>
          <w:lang w:val="uz-Cyrl-UZ"/>
        </w:rPr>
        <w:t>intervjuisan u svojoj kancelariji</w:t>
      </w:r>
      <w:r w:rsidRPr="00B44488">
        <w:rPr>
          <w:rFonts w:asciiTheme="majorHAnsi" w:hAnsiTheme="majorHAnsi"/>
          <w:sz w:val="24"/>
          <w:szCs w:val="24"/>
          <w:lang w:val="uz-Cyrl-UZ"/>
        </w:rPr>
        <w:t xml:space="preserve">. To je značilo da, </w:t>
      </w:r>
      <w:r w:rsidRPr="00B44488">
        <w:rPr>
          <w:rFonts w:asciiTheme="majorHAnsi" w:hAnsiTheme="majorHAnsi"/>
          <w:sz w:val="24"/>
          <w:szCs w:val="24"/>
          <w:lang w:val="uz-Cyrl-UZ"/>
        </w:rPr>
        <w:lastRenderedPageBreak/>
        <w:t xml:space="preserve">iako je snimanje predstavljalo </w:t>
      </w:r>
      <w:r>
        <w:rPr>
          <w:rFonts w:asciiTheme="majorHAnsi" w:hAnsiTheme="majorHAnsi"/>
          <w:sz w:val="24"/>
          <w:szCs w:val="24"/>
          <w:lang w:val="uz-Cyrl-UZ"/>
        </w:rPr>
        <w:t xml:space="preserve">„zadiranje“ </w:t>
      </w:r>
      <w:r w:rsidRPr="00B44488">
        <w:rPr>
          <w:rFonts w:asciiTheme="majorHAnsi" w:hAnsiTheme="majorHAnsi"/>
          <w:sz w:val="24"/>
          <w:szCs w:val="24"/>
          <w:lang w:val="uz-Cyrl-UZ"/>
        </w:rPr>
        <w:t xml:space="preserve">u privatni život, </w:t>
      </w:r>
      <w:r>
        <w:rPr>
          <w:rFonts w:asciiTheme="majorHAnsi" w:hAnsiTheme="majorHAnsi"/>
          <w:sz w:val="24"/>
          <w:szCs w:val="24"/>
          <w:lang w:val="uz-Cyrl-UZ"/>
        </w:rPr>
        <w:t>to miješanje je bilo u donjoj granici.</w:t>
      </w:r>
    </w:p>
    <w:p w:rsidR="006A066A" w:rsidRPr="002F126F" w:rsidRDefault="006A066A" w:rsidP="006A066A">
      <w:pPr>
        <w:jc w:val="both"/>
        <w:rPr>
          <w:rFonts w:asciiTheme="majorHAnsi" w:hAnsiTheme="majorHAnsi"/>
          <w:sz w:val="24"/>
          <w:szCs w:val="24"/>
          <w:lang w:val="uz-Cyrl-UZ"/>
        </w:rPr>
      </w:pPr>
      <w:r>
        <w:rPr>
          <w:rFonts w:asciiTheme="majorHAnsi" w:hAnsiTheme="majorHAnsi"/>
          <w:sz w:val="24"/>
          <w:szCs w:val="24"/>
          <w:lang w:val="uz-Cyrl-UZ"/>
        </w:rPr>
        <w:t>Sud je uzeo</w:t>
      </w:r>
      <w:r w:rsidRPr="00F06B28">
        <w:rPr>
          <w:rFonts w:asciiTheme="majorHAnsi" w:hAnsiTheme="majorHAnsi"/>
          <w:sz w:val="24"/>
          <w:szCs w:val="24"/>
          <w:lang w:val="uz-Cyrl-UZ"/>
        </w:rPr>
        <w:t xml:space="preserve"> u obzir ključni element slučaja iz </w:t>
      </w:r>
      <w:r>
        <w:rPr>
          <w:rFonts w:asciiTheme="majorHAnsi" w:hAnsiTheme="majorHAnsi"/>
          <w:sz w:val="24"/>
          <w:szCs w:val="24"/>
          <w:lang w:val="uz-Cyrl-UZ"/>
        </w:rPr>
        <w:t>pravne perspektive</w:t>
      </w:r>
      <w:r w:rsidRPr="00F06B28">
        <w:rPr>
          <w:rFonts w:asciiTheme="majorHAnsi" w:hAnsiTheme="majorHAnsi"/>
          <w:sz w:val="24"/>
          <w:szCs w:val="24"/>
          <w:lang w:val="uz-Cyrl-UZ"/>
        </w:rPr>
        <w:t xml:space="preserve"> - metod kojim je informacija dobijena. </w:t>
      </w:r>
      <w:r>
        <w:rPr>
          <w:rFonts w:asciiTheme="majorHAnsi" w:hAnsiTheme="majorHAnsi"/>
          <w:sz w:val="24"/>
          <w:szCs w:val="24"/>
          <w:lang w:val="uz-Cyrl-UZ"/>
        </w:rPr>
        <w:t xml:space="preserve">Sud je prvo </w:t>
      </w:r>
      <w:r w:rsidRPr="00F06B28">
        <w:rPr>
          <w:rFonts w:asciiTheme="majorHAnsi" w:hAnsiTheme="majorHAnsi"/>
          <w:sz w:val="24"/>
          <w:szCs w:val="24"/>
          <w:lang w:val="uz-Cyrl-UZ"/>
        </w:rPr>
        <w:t xml:space="preserve">potvrdio da, </w:t>
      </w:r>
      <w:r>
        <w:rPr>
          <w:rFonts w:asciiTheme="majorHAnsi" w:hAnsiTheme="majorHAnsi"/>
          <w:sz w:val="24"/>
          <w:szCs w:val="24"/>
          <w:lang w:val="uz-Cyrl-UZ"/>
        </w:rPr>
        <w:t xml:space="preserve">iako </w:t>
      </w:r>
      <w:r w:rsidRPr="00F06B28">
        <w:rPr>
          <w:rFonts w:asciiTheme="majorHAnsi" w:hAnsiTheme="majorHAnsi"/>
          <w:sz w:val="24"/>
          <w:szCs w:val="24"/>
          <w:lang w:val="uz-Cyrl-UZ"/>
        </w:rPr>
        <w:t xml:space="preserve">novinari imaju znatnu slobodu u izveštavanju o pitanjima od javnog interesa, </w:t>
      </w:r>
      <w:r>
        <w:rPr>
          <w:rFonts w:asciiTheme="majorHAnsi" w:hAnsiTheme="majorHAnsi"/>
          <w:sz w:val="24"/>
          <w:szCs w:val="24"/>
          <w:lang w:val="uz-Cyrl-UZ"/>
        </w:rPr>
        <w:t xml:space="preserve">to </w:t>
      </w:r>
      <w:r w:rsidRPr="00F06B28">
        <w:rPr>
          <w:rFonts w:asciiTheme="majorHAnsi" w:hAnsiTheme="majorHAnsi"/>
          <w:sz w:val="24"/>
          <w:szCs w:val="24"/>
          <w:lang w:val="uz-Cyrl-UZ"/>
        </w:rPr>
        <w:t>moraju</w:t>
      </w:r>
      <w:r w:rsidR="00AC3C17">
        <w:rPr>
          <w:rFonts w:asciiTheme="majorHAnsi" w:hAnsiTheme="majorHAnsi"/>
          <w:sz w:val="24"/>
          <w:szCs w:val="24"/>
          <w:lang w:val="uz-Cyrl-UZ"/>
        </w:rPr>
        <w:t xml:space="preserve"> </w:t>
      </w:r>
      <w:r>
        <w:rPr>
          <w:rFonts w:asciiTheme="majorHAnsi" w:hAnsiTheme="majorHAnsi"/>
          <w:sz w:val="24"/>
          <w:szCs w:val="24"/>
          <w:lang w:val="uz-Cyrl-UZ"/>
        </w:rPr>
        <w:t>činiti dobronamjerno</w:t>
      </w:r>
      <w:r w:rsidRPr="00F06B28">
        <w:rPr>
          <w:rFonts w:asciiTheme="majorHAnsi" w:hAnsiTheme="majorHAnsi"/>
          <w:sz w:val="24"/>
          <w:szCs w:val="24"/>
          <w:lang w:val="uz-Cyrl-UZ"/>
        </w:rPr>
        <w:t>,</w:t>
      </w:r>
      <w:r>
        <w:rPr>
          <w:rFonts w:asciiTheme="majorHAnsi" w:hAnsiTheme="majorHAnsi"/>
          <w:sz w:val="24"/>
          <w:szCs w:val="24"/>
          <w:lang w:val="uz-Cyrl-UZ"/>
        </w:rPr>
        <w:t xml:space="preserve"> na osnovu </w:t>
      </w:r>
      <w:r w:rsidR="00AC3C17">
        <w:rPr>
          <w:rFonts w:asciiTheme="majorHAnsi" w:hAnsiTheme="majorHAnsi"/>
          <w:sz w:val="24"/>
          <w:szCs w:val="24"/>
          <w:lang w:val="uz-Cyrl-UZ"/>
        </w:rPr>
        <w:t>jasnih činjenica</w:t>
      </w:r>
      <w:r>
        <w:rPr>
          <w:rFonts w:asciiTheme="majorHAnsi" w:hAnsiTheme="majorHAnsi"/>
          <w:sz w:val="24"/>
          <w:szCs w:val="24"/>
          <w:lang w:val="uz-Cyrl-UZ"/>
        </w:rPr>
        <w:t xml:space="preserve"> i da moraju težiti da obezbijede „pouzdane i precizne“ informacije u skladu sa novinarskom etikom</w:t>
      </w:r>
      <w:r w:rsidRPr="00F06B28">
        <w:rPr>
          <w:rFonts w:asciiTheme="majorHAnsi" w:hAnsiTheme="majorHAnsi"/>
          <w:sz w:val="24"/>
          <w:szCs w:val="24"/>
          <w:lang w:val="uz-Cyrl-UZ"/>
        </w:rPr>
        <w:t xml:space="preserve">. Sud je zatim razmatrao način na koji je </w:t>
      </w:r>
      <w:r>
        <w:rPr>
          <w:rFonts w:asciiTheme="majorHAnsi" w:hAnsiTheme="majorHAnsi"/>
          <w:sz w:val="24"/>
          <w:szCs w:val="24"/>
          <w:lang w:val="uz-Cyrl-UZ"/>
        </w:rPr>
        <w:t xml:space="preserve">prilog </w:t>
      </w:r>
      <w:r w:rsidRPr="00F06B28">
        <w:rPr>
          <w:rFonts w:asciiTheme="majorHAnsi" w:hAnsiTheme="majorHAnsi"/>
          <w:sz w:val="24"/>
          <w:szCs w:val="24"/>
          <w:lang w:val="uz-Cyrl-UZ"/>
        </w:rPr>
        <w:t xml:space="preserve">emitovan. </w:t>
      </w:r>
      <w:r w:rsidR="00AC3C17">
        <w:rPr>
          <w:rFonts w:asciiTheme="majorHAnsi" w:hAnsiTheme="majorHAnsi"/>
          <w:sz w:val="24"/>
          <w:szCs w:val="24"/>
          <w:lang w:val="uz-Cyrl-UZ"/>
        </w:rPr>
        <w:t>Uzeto je u</w:t>
      </w:r>
      <w:r>
        <w:rPr>
          <w:rFonts w:asciiTheme="majorHAnsi" w:hAnsiTheme="majorHAnsi"/>
          <w:sz w:val="24"/>
          <w:szCs w:val="24"/>
          <w:lang w:val="uz-Cyrl-UZ"/>
        </w:rPr>
        <w:t xml:space="preserve"> obzir da je lik brokera </w:t>
      </w:r>
      <w:r w:rsidR="00AC3C17">
        <w:rPr>
          <w:rFonts w:asciiTheme="majorHAnsi" w:hAnsiTheme="majorHAnsi"/>
          <w:sz w:val="24"/>
          <w:szCs w:val="24"/>
          <w:lang w:val="uz-Cyrl-UZ"/>
        </w:rPr>
        <w:t xml:space="preserve">bio </w:t>
      </w:r>
      <w:r>
        <w:rPr>
          <w:rFonts w:asciiTheme="majorHAnsi" w:hAnsiTheme="majorHAnsi"/>
          <w:sz w:val="24"/>
          <w:szCs w:val="24"/>
          <w:lang w:val="uz-Cyrl-UZ"/>
        </w:rPr>
        <w:t>zamućen</w:t>
      </w:r>
      <w:r w:rsidRPr="00F06B28">
        <w:rPr>
          <w:rFonts w:asciiTheme="majorHAnsi" w:hAnsiTheme="majorHAnsi"/>
          <w:sz w:val="24"/>
          <w:szCs w:val="24"/>
          <w:lang w:val="uz-Cyrl-UZ"/>
        </w:rPr>
        <w:t xml:space="preserve"> i </w:t>
      </w:r>
      <w:r>
        <w:rPr>
          <w:rFonts w:asciiTheme="majorHAnsi" w:hAnsiTheme="majorHAnsi"/>
          <w:sz w:val="24"/>
          <w:szCs w:val="24"/>
          <w:lang w:val="uz-Cyrl-UZ"/>
        </w:rPr>
        <w:t xml:space="preserve">da je </w:t>
      </w:r>
      <w:r w:rsidRPr="00F06B28">
        <w:rPr>
          <w:rFonts w:asciiTheme="majorHAnsi" w:hAnsiTheme="majorHAnsi"/>
          <w:sz w:val="24"/>
          <w:szCs w:val="24"/>
          <w:lang w:val="uz-Cyrl-UZ"/>
        </w:rPr>
        <w:t>njegov glas</w:t>
      </w:r>
      <w:r w:rsidR="00AC3C17">
        <w:rPr>
          <w:rFonts w:asciiTheme="majorHAnsi" w:hAnsiTheme="majorHAnsi"/>
          <w:sz w:val="24"/>
          <w:szCs w:val="24"/>
          <w:lang w:val="uz-Cyrl-UZ"/>
        </w:rPr>
        <w:t xml:space="preserve"> </w:t>
      </w:r>
      <w:r>
        <w:rPr>
          <w:rFonts w:asciiTheme="majorHAnsi" w:hAnsiTheme="majorHAnsi"/>
          <w:sz w:val="24"/>
          <w:szCs w:val="24"/>
          <w:lang w:val="uz-Cyrl-UZ"/>
        </w:rPr>
        <w:t>izmijenjen</w:t>
      </w:r>
      <w:r w:rsidRPr="00F06B28">
        <w:rPr>
          <w:rFonts w:asciiTheme="majorHAnsi" w:hAnsiTheme="majorHAnsi"/>
          <w:sz w:val="24"/>
          <w:szCs w:val="24"/>
          <w:lang w:val="uz-Cyrl-UZ"/>
        </w:rPr>
        <w:t xml:space="preserve">, da razgovor </w:t>
      </w:r>
      <w:r>
        <w:rPr>
          <w:rFonts w:asciiTheme="majorHAnsi" w:hAnsiTheme="majorHAnsi"/>
          <w:sz w:val="24"/>
          <w:szCs w:val="24"/>
          <w:lang w:val="uz-Cyrl-UZ"/>
        </w:rPr>
        <w:t xml:space="preserve">nije obavljen u njegovoj </w:t>
      </w:r>
      <w:r w:rsidRPr="00F06B28">
        <w:rPr>
          <w:rFonts w:asciiTheme="majorHAnsi" w:hAnsiTheme="majorHAnsi"/>
          <w:sz w:val="24"/>
          <w:szCs w:val="24"/>
          <w:lang w:val="uz-Cyrl-UZ"/>
        </w:rPr>
        <w:t>kancelarij</w:t>
      </w:r>
      <w:r>
        <w:rPr>
          <w:rFonts w:asciiTheme="majorHAnsi" w:hAnsiTheme="majorHAnsi"/>
          <w:sz w:val="24"/>
          <w:szCs w:val="24"/>
          <w:lang w:val="uz-Cyrl-UZ"/>
        </w:rPr>
        <w:t xml:space="preserve">i </w:t>
      </w:r>
      <w:r w:rsidRPr="00F06B28">
        <w:rPr>
          <w:rFonts w:asciiTheme="majorHAnsi" w:hAnsiTheme="majorHAnsi"/>
          <w:sz w:val="24"/>
          <w:szCs w:val="24"/>
          <w:lang w:val="uz-Cyrl-UZ"/>
        </w:rPr>
        <w:t xml:space="preserve">i da </w:t>
      </w:r>
      <w:r>
        <w:rPr>
          <w:rFonts w:asciiTheme="majorHAnsi" w:hAnsiTheme="majorHAnsi"/>
          <w:sz w:val="24"/>
          <w:szCs w:val="24"/>
          <w:lang w:val="uz-Cyrl-UZ"/>
        </w:rPr>
        <w:t xml:space="preserve">njegovo odijelo nije ništa </w:t>
      </w:r>
      <w:r w:rsidR="004C3ECD">
        <w:rPr>
          <w:rFonts w:asciiTheme="majorHAnsi" w:hAnsiTheme="majorHAnsi"/>
          <w:sz w:val="24"/>
          <w:szCs w:val="24"/>
          <w:lang w:val="uz-Cyrl-UZ"/>
        </w:rPr>
        <w:t>moglo da otkrije</w:t>
      </w:r>
      <w:r w:rsidRPr="00AC3C17">
        <w:rPr>
          <w:rFonts w:asciiTheme="majorHAnsi" w:hAnsiTheme="majorHAnsi"/>
          <w:sz w:val="24"/>
          <w:szCs w:val="24"/>
          <w:lang w:val="uz-Cyrl-UZ"/>
        </w:rPr>
        <w:t>.</w:t>
      </w:r>
      <w:r>
        <w:rPr>
          <w:rFonts w:asciiTheme="majorHAnsi" w:hAnsiTheme="majorHAnsi"/>
          <w:sz w:val="24"/>
          <w:szCs w:val="24"/>
          <w:lang w:val="uz-Cyrl-UZ"/>
        </w:rPr>
        <w:t xml:space="preserve"> Ovo </w:t>
      </w:r>
      <w:r w:rsidRPr="00F06B28">
        <w:rPr>
          <w:rFonts w:asciiTheme="majorHAnsi" w:hAnsiTheme="majorHAnsi"/>
          <w:sz w:val="24"/>
          <w:szCs w:val="24"/>
          <w:lang w:val="uz-Cyrl-UZ"/>
        </w:rPr>
        <w:t>je značilo da je nivo miješanja u privatnost broker</w:t>
      </w:r>
      <w:r>
        <w:rPr>
          <w:rFonts w:asciiTheme="majorHAnsi" w:hAnsiTheme="majorHAnsi"/>
          <w:sz w:val="24"/>
          <w:szCs w:val="24"/>
          <w:lang w:val="uz-Cyrl-UZ"/>
        </w:rPr>
        <w:t>a bi</w:t>
      </w:r>
      <w:r w:rsidR="004C3ECD">
        <w:rPr>
          <w:rFonts w:asciiTheme="majorHAnsi" w:hAnsiTheme="majorHAnsi"/>
          <w:sz w:val="24"/>
          <w:szCs w:val="24"/>
          <w:lang w:val="uz-Cyrl-UZ"/>
        </w:rPr>
        <w:t xml:space="preserve">o na </w:t>
      </w:r>
      <w:r w:rsidR="00AC3C17">
        <w:rPr>
          <w:rFonts w:asciiTheme="majorHAnsi" w:hAnsiTheme="majorHAnsi"/>
          <w:sz w:val="24"/>
          <w:szCs w:val="24"/>
          <w:lang w:val="uz-Cyrl-UZ"/>
        </w:rPr>
        <w:t>minimalnom nivou</w:t>
      </w:r>
      <w:r w:rsidRPr="00F06B28">
        <w:rPr>
          <w:rFonts w:asciiTheme="majorHAnsi" w:hAnsiTheme="majorHAnsi"/>
          <w:sz w:val="24"/>
          <w:szCs w:val="24"/>
          <w:lang w:val="uz-Cyrl-UZ"/>
        </w:rPr>
        <w:t xml:space="preserve"> i </w:t>
      </w:r>
      <w:r>
        <w:rPr>
          <w:rFonts w:asciiTheme="majorHAnsi" w:hAnsiTheme="majorHAnsi"/>
          <w:sz w:val="24"/>
          <w:szCs w:val="24"/>
          <w:lang w:val="uz-Cyrl-UZ"/>
        </w:rPr>
        <w:t xml:space="preserve">da </w:t>
      </w:r>
      <w:r w:rsidRPr="00F06B28">
        <w:rPr>
          <w:rFonts w:asciiTheme="majorHAnsi" w:hAnsiTheme="majorHAnsi"/>
          <w:sz w:val="24"/>
          <w:szCs w:val="24"/>
          <w:lang w:val="uz-Cyrl-UZ"/>
        </w:rPr>
        <w:t>nije nadmaš</w:t>
      </w:r>
      <w:r w:rsidR="00AC3C17">
        <w:rPr>
          <w:rFonts w:asciiTheme="majorHAnsi" w:hAnsiTheme="majorHAnsi"/>
          <w:sz w:val="24"/>
          <w:szCs w:val="24"/>
          <w:lang w:val="uz-Cyrl-UZ"/>
        </w:rPr>
        <w:t xml:space="preserve">en </w:t>
      </w:r>
      <w:r w:rsidRPr="00F06B28">
        <w:rPr>
          <w:rFonts w:asciiTheme="majorHAnsi" w:hAnsiTheme="majorHAnsi"/>
          <w:sz w:val="24"/>
          <w:szCs w:val="24"/>
          <w:lang w:val="uz-Cyrl-UZ"/>
        </w:rPr>
        <w:t>javni interes</w:t>
      </w:r>
      <w:r>
        <w:rPr>
          <w:rFonts w:asciiTheme="majorHAnsi" w:hAnsiTheme="majorHAnsi"/>
          <w:sz w:val="24"/>
          <w:szCs w:val="24"/>
          <w:lang w:val="uz-Cyrl-UZ"/>
        </w:rPr>
        <w:t xml:space="preserve"> priče</w:t>
      </w:r>
      <w:r w:rsidRPr="00F06B28">
        <w:rPr>
          <w:rFonts w:asciiTheme="majorHAnsi" w:hAnsiTheme="majorHAnsi"/>
          <w:sz w:val="24"/>
          <w:szCs w:val="24"/>
          <w:lang w:val="uz-Cyrl-UZ"/>
        </w:rPr>
        <w:t xml:space="preserve">. Konačno, Sud je uzeo u obzir </w:t>
      </w:r>
      <w:r w:rsidR="00AC3C17">
        <w:rPr>
          <w:rFonts w:asciiTheme="majorHAnsi" w:hAnsiTheme="majorHAnsi"/>
          <w:sz w:val="24"/>
          <w:szCs w:val="24"/>
          <w:lang w:val="uz-Cyrl-UZ"/>
        </w:rPr>
        <w:t>težinu</w:t>
      </w:r>
      <w:r w:rsidRPr="00F06B28">
        <w:rPr>
          <w:rFonts w:asciiTheme="majorHAnsi" w:hAnsiTheme="majorHAnsi"/>
          <w:sz w:val="24"/>
          <w:szCs w:val="24"/>
          <w:lang w:val="uz-Cyrl-UZ"/>
        </w:rPr>
        <w:t xml:space="preserve"> </w:t>
      </w:r>
      <w:r>
        <w:rPr>
          <w:rFonts w:asciiTheme="majorHAnsi" w:hAnsiTheme="majorHAnsi"/>
          <w:sz w:val="24"/>
          <w:szCs w:val="24"/>
          <w:lang w:val="uz-Cyrl-UZ"/>
        </w:rPr>
        <w:t>izrečene kazn</w:t>
      </w:r>
      <w:r w:rsidRPr="00F06B28">
        <w:rPr>
          <w:rFonts w:asciiTheme="majorHAnsi" w:hAnsiTheme="majorHAnsi"/>
          <w:sz w:val="24"/>
          <w:szCs w:val="24"/>
          <w:lang w:val="uz-Cyrl-UZ"/>
        </w:rPr>
        <w:t xml:space="preserve">e. </w:t>
      </w:r>
      <w:r>
        <w:rPr>
          <w:rFonts w:asciiTheme="majorHAnsi" w:hAnsiTheme="majorHAnsi"/>
          <w:sz w:val="24"/>
          <w:szCs w:val="24"/>
          <w:lang w:val="uz-Cyrl-UZ"/>
        </w:rPr>
        <w:t xml:space="preserve">Iako je u </w:t>
      </w:r>
      <w:r w:rsidRPr="00F06B28">
        <w:rPr>
          <w:rFonts w:asciiTheme="majorHAnsi" w:hAnsiTheme="majorHAnsi"/>
          <w:sz w:val="24"/>
          <w:szCs w:val="24"/>
          <w:lang w:val="uz-Cyrl-UZ"/>
        </w:rPr>
        <w:t>finansijskom smislu kazna</w:t>
      </w:r>
      <w:r>
        <w:rPr>
          <w:rFonts w:asciiTheme="majorHAnsi" w:hAnsiTheme="majorHAnsi"/>
          <w:sz w:val="24"/>
          <w:szCs w:val="24"/>
          <w:lang w:val="uz-Cyrl-UZ"/>
        </w:rPr>
        <w:t xml:space="preserve"> bila laka</w:t>
      </w:r>
      <w:r w:rsidRPr="00F06B28">
        <w:rPr>
          <w:rFonts w:asciiTheme="majorHAnsi" w:hAnsiTheme="majorHAnsi"/>
          <w:sz w:val="24"/>
          <w:szCs w:val="24"/>
          <w:lang w:val="uz-Cyrl-UZ"/>
        </w:rPr>
        <w:t xml:space="preserve">, Sud je zaključio da </w:t>
      </w:r>
      <w:r>
        <w:rPr>
          <w:rFonts w:asciiTheme="majorHAnsi" w:hAnsiTheme="majorHAnsi"/>
          <w:sz w:val="24"/>
          <w:szCs w:val="24"/>
          <w:lang w:val="uz-Cyrl-UZ"/>
        </w:rPr>
        <w:t xml:space="preserve">je </w:t>
      </w:r>
      <w:r w:rsidR="004C3ECD">
        <w:rPr>
          <w:rFonts w:asciiTheme="majorHAnsi" w:hAnsiTheme="majorHAnsi"/>
          <w:sz w:val="24"/>
          <w:szCs w:val="24"/>
          <w:lang w:val="uz-Cyrl-UZ"/>
        </w:rPr>
        <w:t xml:space="preserve">krivična sankcija </w:t>
      </w:r>
      <w:r w:rsidRPr="00F06B28">
        <w:rPr>
          <w:rFonts w:asciiTheme="majorHAnsi" w:hAnsiTheme="majorHAnsi"/>
          <w:sz w:val="24"/>
          <w:szCs w:val="24"/>
          <w:lang w:val="uz-Cyrl-UZ"/>
        </w:rPr>
        <w:t>bi</w:t>
      </w:r>
      <w:r>
        <w:rPr>
          <w:rFonts w:asciiTheme="majorHAnsi" w:hAnsiTheme="majorHAnsi"/>
          <w:sz w:val="24"/>
          <w:szCs w:val="24"/>
          <w:lang w:val="uz-Cyrl-UZ"/>
        </w:rPr>
        <w:t>la</w:t>
      </w:r>
      <w:r w:rsidRPr="00F06B28">
        <w:rPr>
          <w:rFonts w:asciiTheme="majorHAnsi" w:hAnsiTheme="majorHAnsi"/>
          <w:sz w:val="24"/>
          <w:szCs w:val="24"/>
          <w:lang w:val="uz-Cyrl-UZ"/>
        </w:rPr>
        <w:t xml:space="preserve"> nesrazm</w:t>
      </w:r>
      <w:r>
        <w:rPr>
          <w:rFonts w:asciiTheme="majorHAnsi" w:hAnsiTheme="majorHAnsi"/>
          <w:sz w:val="24"/>
          <w:szCs w:val="24"/>
          <w:lang w:val="uz-Cyrl-UZ"/>
        </w:rPr>
        <w:t>j</w:t>
      </w:r>
      <w:r w:rsidRPr="00F06B28">
        <w:rPr>
          <w:rFonts w:asciiTheme="majorHAnsi" w:hAnsiTheme="majorHAnsi"/>
          <w:sz w:val="24"/>
          <w:szCs w:val="24"/>
          <w:lang w:val="uz-Cyrl-UZ"/>
        </w:rPr>
        <w:t xml:space="preserve">erna. Zbog svih ovih razloga, Sud je utvrdio da je </w:t>
      </w:r>
      <w:r>
        <w:rPr>
          <w:rFonts w:asciiTheme="majorHAnsi" w:hAnsiTheme="majorHAnsi"/>
          <w:sz w:val="24"/>
          <w:szCs w:val="24"/>
          <w:lang w:val="uz-Cyrl-UZ"/>
        </w:rPr>
        <w:t>osudom prekršeno</w:t>
      </w:r>
      <w:r w:rsidRPr="00F06B28">
        <w:rPr>
          <w:rFonts w:asciiTheme="majorHAnsi" w:hAnsiTheme="majorHAnsi"/>
          <w:sz w:val="24"/>
          <w:szCs w:val="24"/>
          <w:lang w:val="uz-Cyrl-UZ"/>
        </w:rPr>
        <w:t xml:space="preserve"> pravo na slobodu izražavanja.</w:t>
      </w:r>
    </w:p>
    <w:p w:rsidR="00AE2C8C" w:rsidRPr="001C0271" w:rsidRDefault="00AE2C8C" w:rsidP="001479EE">
      <w:pPr>
        <w:spacing w:after="0"/>
        <w:jc w:val="both"/>
        <w:rPr>
          <w:rFonts w:asciiTheme="majorHAnsi" w:eastAsia="Calibri" w:hAnsiTheme="majorHAnsi" w:cs="Times New Roman"/>
          <w:sz w:val="24"/>
          <w:szCs w:val="24"/>
          <w:lang w:val="uz-Cyrl-UZ"/>
        </w:rPr>
      </w:pPr>
    </w:p>
    <w:p w:rsidR="003D241D" w:rsidRPr="001C0271" w:rsidRDefault="003D241D" w:rsidP="001479EE">
      <w:pPr>
        <w:spacing w:after="0"/>
        <w:jc w:val="both"/>
        <w:rPr>
          <w:rFonts w:asciiTheme="majorHAnsi" w:eastAsia="Calibri" w:hAnsiTheme="majorHAnsi" w:cs="Times New Roman"/>
          <w:b/>
          <w:i/>
          <w:sz w:val="24"/>
          <w:szCs w:val="24"/>
          <w:lang w:val="uz-Cyrl-UZ"/>
        </w:rPr>
      </w:pPr>
    </w:p>
    <w:p w:rsidR="000830F1" w:rsidRPr="001C0271" w:rsidRDefault="000830F1" w:rsidP="001479EE">
      <w:pPr>
        <w:spacing w:after="0"/>
        <w:jc w:val="both"/>
        <w:rPr>
          <w:rFonts w:asciiTheme="majorHAnsi" w:eastAsia="Calibri" w:hAnsiTheme="majorHAnsi" w:cs="Times New Roman"/>
          <w:b/>
          <w:i/>
          <w:sz w:val="24"/>
          <w:szCs w:val="24"/>
          <w:lang w:val="uz-Cyrl-UZ"/>
        </w:rPr>
      </w:pPr>
      <w:r w:rsidRPr="001C0271">
        <w:rPr>
          <w:rFonts w:asciiTheme="majorHAnsi" w:eastAsia="Calibri" w:hAnsiTheme="majorHAnsi" w:cs="Times New Roman"/>
          <w:b/>
          <w:i/>
          <w:sz w:val="24"/>
          <w:szCs w:val="24"/>
          <w:lang w:val="uz-Cyrl-UZ"/>
        </w:rPr>
        <w:t>Pripremio: Peter Noorlander, direktor Media Legal Defence Initiative, u saradnji sa HRA</w:t>
      </w:r>
    </w:p>
    <w:p w:rsidR="000830F1" w:rsidRPr="001C0271" w:rsidRDefault="000830F1" w:rsidP="001479EE">
      <w:pPr>
        <w:spacing w:after="0"/>
        <w:jc w:val="both"/>
        <w:rPr>
          <w:rFonts w:asciiTheme="majorHAnsi" w:eastAsia="Calibri" w:hAnsiTheme="majorHAnsi" w:cs="Times New Roman"/>
          <w:b/>
          <w:i/>
          <w:sz w:val="24"/>
          <w:szCs w:val="24"/>
          <w:lang w:val="uz-Cyrl-UZ"/>
        </w:rPr>
      </w:pPr>
    </w:p>
    <w:p w:rsidR="000830F1" w:rsidRPr="001C0271" w:rsidRDefault="00D06798" w:rsidP="001479EE">
      <w:pPr>
        <w:spacing w:after="0"/>
        <w:jc w:val="both"/>
        <w:rPr>
          <w:rFonts w:asciiTheme="majorHAnsi" w:eastAsia="Calibri" w:hAnsiTheme="majorHAnsi" w:cs="Times New Roman"/>
          <w:sz w:val="24"/>
          <w:szCs w:val="24"/>
          <w:highlight w:val="yellow"/>
          <w:shd w:val="clear" w:color="auto" w:fill="FFFFFF"/>
          <w:lang w:val="uz-Cyrl-UZ"/>
        </w:rPr>
      </w:pPr>
      <w:r w:rsidRPr="001C0271">
        <w:rPr>
          <w:rFonts w:asciiTheme="majorHAnsi" w:eastAsia="Calibri" w:hAnsiTheme="majorHAnsi" w:cs="Times New Roman"/>
          <w:b/>
          <w:i/>
          <w:noProof/>
          <w:sz w:val="24"/>
          <w:szCs w:val="24"/>
          <w:lang w:val="sr-Latn-ME" w:eastAsia="sr-Latn-ME"/>
        </w:rPr>
        <mc:AlternateContent>
          <mc:Choice Requires="wps">
            <w:drawing>
              <wp:anchor distT="4294967295" distB="4294967295" distL="114300" distR="114300" simplePos="0" relativeHeight="251662336" behindDoc="0" locked="0" layoutInCell="1" allowOverlap="1" wp14:anchorId="645527BF" wp14:editId="31E2BA41">
                <wp:simplePos x="0" y="0"/>
                <wp:positionH relativeFrom="column">
                  <wp:posOffset>-52578</wp:posOffset>
                </wp:positionH>
                <wp:positionV relativeFrom="paragraph">
                  <wp:posOffset>122555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3" o:spid="_x0000_s1026" type="#_x0000_t32" style="position:absolute;margin-left:-4.15pt;margin-top:9.65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FV5GtPZAAAACAEAAA8AAABkcnMvZG93bnJldi54&#10;bWxMT0FOw0AMvCPxh5WRuLUbWoTSkE0FlbhwAZqIs5OYbETWG7LbNvweIw7lZHlmPDPOt7Mb1JGm&#10;0Hs2cLNMQBE3vu25M1CVT4sUVIjILQ6eycA3BdgWlxc5Zq0/8Rsd97FTYsIhQwM2xjHTOjSWHIal&#10;H4mF+/CTwyjr1Ol2wpOYu0GvkuROO+xZEiyOtLPUfO4PTmr05e4LbTW+ls+P+kVX7/Wt4Ob6an64&#10;BxVpjmcx/NaXGyikU+0P3AY1GFika1EKvpEpfLpZr0DVf4Aucv3/geIHAAD//wMAUEsBAi0AFAAG&#10;AAgAAAAhALaDOJL+AAAA4QEAABMAAAAAAAAAAAAAAAAAAAAAAFtDb250ZW50X1R5cGVzXS54bWxQ&#10;SwECLQAUAAYACAAAACEAOP0h/9YAAACUAQAACwAAAAAAAAAAAAAAAAAvAQAAX3JlbHMvLnJlbHNQ&#10;SwECLQAUAAYACAAAACEAsrn/OigCAABLBAAADgAAAAAAAAAAAAAAAAAuAgAAZHJzL2Uyb0RvYy54&#10;bWxQSwECLQAUAAYACAAAACEAVXka09kAAAAIAQAADwAAAAAAAAAAAAAAAACCBAAAZHJzL2Rvd25y&#10;ZXYueG1sUEsFBgAAAAAEAAQA8wAAAIgFAAAAAA==&#10;" strokecolor="#903" strokeweight="1.5pt"/>
            </w:pict>
          </mc:Fallback>
        </mc:AlternateContent>
      </w:r>
    </w:p>
    <w:p w:rsidR="000830F1" w:rsidRPr="001C0271" w:rsidRDefault="00552A1E" w:rsidP="001479EE">
      <w:pPr>
        <w:spacing w:after="0"/>
        <w:jc w:val="both"/>
        <w:rPr>
          <w:rFonts w:asciiTheme="majorHAnsi" w:eastAsia="Calibri" w:hAnsiTheme="majorHAnsi" w:cs="Times New Roman"/>
          <w:sz w:val="24"/>
          <w:szCs w:val="24"/>
          <w:highlight w:val="yellow"/>
          <w:shd w:val="clear" w:color="auto" w:fill="FFFFFF"/>
          <w:lang w:val="uz-Cyrl-UZ"/>
        </w:rPr>
      </w:pPr>
      <w:r w:rsidRPr="001C0271">
        <w:rPr>
          <w:rFonts w:asciiTheme="majorHAnsi" w:hAnsiTheme="majorHAnsi"/>
          <w:noProof/>
          <w:sz w:val="24"/>
          <w:szCs w:val="24"/>
          <w:lang w:val="sr-Latn-ME" w:eastAsia="sr-Latn-ME"/>
        </w:rPr>
        <w:drawing>
          <wp:anchor distT="0" distB="0" distL="0" distR="0" simplePos="0" relativeHeight="251665408" behindDoc="0" locked="0" layoutInCell="1" allowOverlap="0" wp14:anchorId="621030B8" wp14:editId="2229EC45">
            <wp:simplePos x="0" y="0"/>
            <wp:positionH relativeFrom="column">
              <wp:posOffset>-129540</wp:posOffset>
            </wp:positionH>
            <wp:positionV relativeFrom="line">
              <wp:posOffset>1905</wp:posOffset>
            </wp:positionV>
            <wp:extent cx="1069340" cy="775970"/>
            <wp:effectExtent l="0" t="0" r="0" b="5080"/>
            <wp:wrapSquare wrapText="bothSides"/>
            <wp:docPr id="2" name="Picture 2"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340" cy="775970"/>
                    </a:xfrm>
                    <a:prstGeom prst="rect">
                      <a:avLst/>
                    </a:prstGeom>
                    <a:noFill/>
                    <a:ln>
                      <a:noFill/>
                    </a:ln>
                  </pic:spPr>
                </pic:pic>
              </a:graphicData>
            </a:graphic>
          </wp:anchor>
        </w:drawing>
      </w:r>
    </w:p>
    <w:p w:rsidR="000830F1" w:rsidRPr="004A04C9" w:rsidRDefault="000830F1" w:rsidP="001479EE">
      <w:pPr>
        <w:spacing w:after="0"/>
        <w:jc w:val="both"/>
        <w:rPr>
          <w:rFonts w:asciiTheme="majorHAnsi" w:eastAsia="Calibri" w:hAnsiTheme="majorHAnsi" w:cs="Times New Roman"/>
          <w:lang w:val="uz-Cyrl-UZ"/>
        </w:rPr>
      </w:pPr>
      <w:r w:rsidRPr="004A04C9">
        <w:rPr>
          <w:rFonts w:asciiTheme="majorHAnsi" w:eastAsia="Calibri" w:hAnsiTheme="majorHAnsi" w:cs="Times New Roman"/>
          <w:shd w:val="clear" w:color="auto" w:fill="FFFFFF"/>
          <w:lang w:val="uz-Cyrl-UZ"/>
        </w:rPr>
        <w:t xml:space="preserve">Bilteni se objavljuju </w:t>
      </w:r>
      <w:r w:rsidR="005341D1" w:rsidRPr="004A04C9">
        <w:rPr>
          <w:rFonts w:asciiTheme="majorHAnsi" w:eastAsia="Calibri" w:hAnsiTheme="majorHAnsi" w:cs="Times New Roman"/>
          <w:shd w:val="clear" w:color="auto" w:fill="FFFFFF"/>
          <w:lang w:val="uz-Cyrl-UZ"/>
        </w:rPr>
        <w:t>u okviru projekta „Podrška razumijevanju novinarske etike i slobode izražavanja“, koji finansira Ambasada Sjedinjenih Američkih Država u Podgorici</w:t>
      </w:r>
      <w:r w:rsidR="00552A1E" w:rsidRPr="004A04C9">
        <w:rPr>
          <w:rFonts w:asciiTheme="majorHAnsi" w:eastAsia="Calibri" w:hAnsiTheme="majorHAnsi" w:cs="Times New Roman"/>
          <w:shd w:val="clear" w:color="auto" w:fill="FFFFFF"/>
          <w:lang w:val="uz-Cyrl-UZ"/>
        </w:rPr>
        <w:t>.</w:t>
      </w:r>
    </w:p>
    <w:p w:rsidR="00B760F2" w:rsidRPr="001C0271" w:rsidRDefault="00D06798" w:rsidP="001479EE">
      <w:pPr>
        <w:tabs>
          <w:tab w:val="left" w:pos="2038"/>
        </w:tabs>
        <w:jc w:val="both"/>
        <w:rPr>
          <w:rFonts w:asciiTheme="majorHAnsi" w:hAnsiTheme="majorHAnsi"/>
          <w:sz w:val="24"/>
          <w:szCs w:val="24"/>
          <w:lang w:val="uz-Cyrl-UZ"/>
        </w:rPr>
      </w:pPr>
      <w:r w:rsidRPr="001C0271">
        <w:rPr>
          <w:rFonts w:asciiTheme="majorHAnsi" w:eastAsia="Calibri" w:hAnsiTheme="majorHAnsi" w:cs="Times New Roman"/>
          <w:noProof/>
          <w:sz w:val="24"/>
          <w:szCs w:val="24"/>
          <w:lang w:val="sr-Latn-ME" w:eastAsia="sr-Latn-ME"/>
        </w:rPr>
        <mc:AlternateContent>
          <mc:Choice Requires="wps">
            <w:drawing>
              <wp:anchor distT="4294967295" distB="4294967295" distL="114300" distR="114300" simplePos="0" relativeHeight="251663360" behindDoc="0" locked="0" layoutInCell="1" allowOverlap="1" wp14:anchorId="3D59DC59" wp14:editId="3B670E89">
                <wp:simplePos x="0" y="0"/>
                <wp:positionH relativeFrom="column">
                  <wp:posOffset>-988060</wp:posOffset>
                </wp:positionH>
                <wp:positionV relativeFrom="paragraph">
                  <wp:posOffset>94691</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1" o:spid="_x0000_s1026" type="#_x0000_t32" style="position:absolute;margin-left:-77.8pt;margin-top:7.4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CJNkRz2wAAAAoBAAAPAAAAZHJzL2Rvd25yZXYu&#10;eG1sTE9BTsMwELwj8Qdrkbi1TlFSaIhTQSUuXIAm6tmJlzgiXofYbcPvWcQBbrszszOzxXZ2gzjh&#10;FHpPClbLBARS601PnYK6elrcgQhRk9GDJ1TwhQG25eVFoXPjz/SGp33sBJtQyLUCG+OYSxlai06H&#10;pR+RmHv3k9OR16mTZtJnNneDvEmStXS6J06wesSdxfZjf3Rco692n9rW42v1/ChfZH1oUsbV9dX8&#10;cA8i4hz/xPBTn2+g5E6NP5IJYlCwWGXZmrXMpBsQrLhNMx6aX0CWhfz/QvkNAAD//wMAUEsBAi0A&#10;FAAGAAgAAAAhALaDOJL+AAAA4QEAABMAAAAAAAAAAAAAAAAAAAAAAFtDb250ZW50X1R5cGVzXS54&#10;bWxQSwECLQAUAAYACAAAACEAOP0h/9YAAACUAQAACwAAAAAAAAAAAAAAAAAvAQAAX3JlbHMvLnJl&#10;bHNQSwECLQAUAAYACAAAACEAqB9QQSkCAABLBAAADgAAAAAAAAAAAAAAAAAuAgAAZHJzL2Uyb0Rv&#10;Yy54bWxQSwECLQAUAAYACAAAACEAiTZEc9sAAAAKAQAADwAAAAAAAAAAAAAAAACDBAAAZHJzL2Rv&#10;d25yZXYueG1sUEsFBgAAAAAEAAQA8wAAAIsFAAAAAA==&#10;" strokecolor="#903" strokeweight="1.5pt"/>
            </w:pict>
          </mc:Fallback>
        </mc:AlternateContent>
      </w:r>
      <w:r w:rsidR="009E513B" w:rsidRPr="001C0271">
        <w:rPr>
          <w:rFonts w:asciiTheme="majorHAnsi" w:hAnsiTheme="majorHAnsi"/>
          <w:sz w:val="24"/>
          <w:szCs w:val="24"/>
          <w:lang w:val="uz-Cyrl-UZ"/>
        </w:rPr>
        <w:tab/>
      </w:r>
    </w:p>
    <w:p w:rsidR="00C87344" w:rsidRPr="001C0271" w:rsidRDefault="00C87344" w:rsidP="001479EE">
      <w:pPr>
        <w:tabs>
          <w:tab w:val="left" w:pos="2038"/>
        </w:tabs>
        <w:jc w:val="both"/>
        <w:rPr>
          <w:rFonts w:asciiTheme="majorHAnsi" w:hAnsiTheme="majorHAnsi"/>
          <w:sz w:val="24"/>
          <w:szCs w:val="24"/>
          <w:lang w:val="uz-Cyrl-UZ"/>
        </w:rPr>
      </w:pPr>
    </w:p>
    <w:sectPr w:rsidR="00C87344" w:rsidRPr="001C0271" w:rsidSect="00B44E8F">
      <w:pgSz w:w="11906" w:h="16838"/>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9A36788"/>
    <w:multiLevelType w:val="hybridMultilevel"/>
    <w:tmpl w:val="4A4841C6"/>
    <w:lvl w:ilvl="0" w:tplc="2C1A0001">
      <w:start w:val="1"/>
      <w:numFmt w:val="bullet"/>
      <w:lvlText w:val=""/>
      <w:lvlJc w:val="left"/>
      <w:pPr>
        <w:ind w:left="1364" w:hanging="360"/>
      </w:pPr>
      <w:rPr>
        <w:rFonts w:ascii="Symbol" w:hAnsi="Symbol" w:hint="default"/>
      </w:rPr>
    </w:lvl>
    <w:lvl w:ilvl="1" w:tplc="2C1A0003" w:tentative="1">
      <w:start w:val="1"/>
      <w:numFmt w:val="bullet"/>
      <w:lvlText w:val="o"/>
      <w:lvlJc w:val="left"/>
      <w:pPr>
        <w:ind w:left="2084" w:hanging="360"/>
      </w:pPr>
      <w:rPr>
        <w:rFonts w:ascii="Courier New" w:hAnsi="Courier New" w:cs="Courier New" w:hint="default"/>
      </w:rPr>
    </w:lvl>
    <w:lvl w:ilvl="2" w:tplc="2C1A0005" w:tentative="1">
      <w:start w:val="1"/>
      <w:numFmt w:val="bullet"/>
      <w:lvlText w:val=""/>
      <w:lvlJc w:val="left"/>
      <w:pPr>
        <w:ind w:left="2804" w:hanging="360"/>
      </w:pPr>
      <w:rPr>
        <w:rFonts w:ascii="Wingdings" w:hAnsi="Wingdings" w:hint="default"/>
      </w:rPr>
    </w:lvl>
    <w:lvl w:ilvl="3" w:tplc="2C1A0001" w:tentative="1">
      <w:start w:val="1"/>
      <w:numFmt w:val="bullet"/>
      <w:lvlText w:val=""/>
      <w:lvlJc w:val="left"/>
      <w:pPr>
        <w:ind w:left="3524" w:hanging="360"/>
      </w:pPr>
      <w:rPr>
        <w:rFonts w:ascii="Symbol" w:hAnsi="Symbol" w:hint="default"/>
      </w:rPr>
    </w:lvl>
    <w:lvl w:ilvl="4" w:tplc="2C1A0003" w:tentative="1">
      <w:start w:val="1"/>
      <w:numFmt w:val="bullet"/>
      <w:lvlText w:val="o"/>
      <w:lvlJc w:val="left"/>
      <w:pPr>
        <w:ind w:left="4244" w:hanging="360"/>
      </w:pPr>
      <w:rPr>
        <w:rFonts w:ascii="Courier New" w:hAnsi="Courier New" w:cs="Courier New" w:hint="default"/>
      </w:rPr>
    </w:lvl>
    <w:lvl w:ilvl="5" w:tplc="2C1A0005" w:tentative="1">
      <w:start w:val="1"/>
      <w:numFmt w:val="bullet"/>
      <w:lvlText w:val=""/>
      <w:lvlJc w:val="left"/>
      <w:pPr>
        <w:ind w:left="4964" w:hanging="360"/>
      </w:pPr>
      <w:rPr>
        <w:rFonts w:ascii="Wingdings" w:hAnsi="Wingdings" w:hint="default"/>
      </w:rPr>
    </w:lvl>
    <w:lvl w:ilvl="6" w:tplc="2C1A0001" w:tentative="1">
      <w:start w:val="1"/>
      <w:numFmt w:val="bullet"/>
      <w:lvlText w:val=""/>
      <w:lvlJc w:val="left"/>
      <w:pPr>
        <w:ind w:left="5684" w:hanging="360"/>
      </w:pPr>
      <w:rPr>
        <w:rFonts w:ascii="Symbol" w:hAnsi="Symbol" w:hint="default"/>
      </w:rPr>
    </w:lvl>
    <w:lvl w:ilvl="7" w:tplc="2C1A0003" w:tentative="1">
      <w:start w:val="1"/>
      <w:numFmt w:val="bullet"/>
      <w:lvlText w:val="o"/>
      <w:lvlJc w:val="left"/>
      <w:pPr>
        <w:ind w:left="6404" w:hanging="360"/>
      </w:pPr>
      <w:rPr>
        <w:rFonts w:ascii="Courier New" w:hAnsi="Courier New" w:cs="Courier New" w:hint="default"/>
      </w:rPr>
    </w:lvl>
    <w:lvl w:ilvl="8" w:tplc="2C1A0005" w:tentative="1">
      <w:start w:val="1"/>
      <w:numFmt w:val="bullet"/>
      <w:lvlText w:val=""/>
      <w:lvlJc w:val="left"/>
      <w:pPr>
        <w:ind w:left="7124" w:hanging="360"/>
      </w:pPr>
      <w:rPr>
        <w:rFonts w:ascii="Wingdings" w:hAnsi="Wingdings" w:hint="default"/>
      </w:rPr>
    </w:lvl>
  </w:abstractNum>
  <w:abstractNum w:abstractNumId="2">
    <w:nsid w:val="0EA328E4"/>
    <w:multiLevelType w:val="hybridMultilevel"/>
    <w:tmpl w:val="EF18324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BA85B78"/>
    <w:multiLevelType w:val="hybridMultilevel"/>
    <w:tmpl w:val="5D10AD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4F6217F1"/>
    <w:multiLevelType w:val="hybridMultilevel"/>
    <w:tmpl w:val="75B6554E"/>
    <w:lvl w:ilvl="0" w:tplc="09EAAD72">
      <w:start w:val="26"/>
      <w:numFmt w:val="bullet"/>
      <w:lvlText w:val="-"/>
      <w:lvlJc w:val="left"/>
      <w:pPr>
        <w:ind w:left="720" w:hanging="360"/>
      </w:pPr>
      <w:rPr>
        <w:rFonts w:ascii="Calibri" w:eastAsiaTheme="minorHAnsi" w:hAnsi="Calibri" w:cstheme="minorBidi"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5C5F7D04"/>
    <w:multiLevelType w:val="hybridMultilevel"/>
    <w:tmpl w:val="7BC6E54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617E5BD7"/>
    <w:multiLevelType w:val="hybridMultilevel"/>
    <w:tmpl w:val="2A682D76"/>
    <w:lvl w:ilvl="0" w:tplc="09EAAD72">
      <w:start w:val="26"/>
      <w:numFmt w:val="bullet"/>
      <w:lvlText w:val="-"/>
      <w:lvlJc w:val="left"/>
      <w:pPr>
        <w:ind w:left="644"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5"/>
  </w:num>
  <w:num w:numId="5">
    <w:abstractNumId w:val="0"/>
  </w:num>
  <w:num w:numId="6">
    <w:abstractNumId w:val="1"/>
  </w:num>
  <w:num w:numId="7">
    <w:abstractNumId w:val="6"/>
  </w:num>
  <w:num w:numId="8">
    <w:abstractNumId w:val="8"/>
  </w:num>
  <w:num w:numId="9">
    <w:abstractNumId w:val="2"/>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A"/>
    <w:rsid w:val="00001B91"/>
    <w:rsid w:val="0000328B"/>
    <w:rsid w:val="0001230B"/>
    <w:rsid w:val="000162A3"/>
    <w:rsid w:val="00050986"/>
    <w:rsid w:val="00052A91"/>
    <w:rsid w:val="000830F1"/>
    <w:rsid w:val="000934E9"/>
    <w:rsid w:val="000C448F"/>
    <w:rsid w:val="000C62FE"/>
    <w:rsid w:val="000D36D4"/>
    <w:rsid w:val="000E4531"/>
    <w:rsid w:val="000E661F"/>
    <w:rsid w:val="000F1A8B"/>
    <w:rsid w:val="00102EDA"/>
    <w:rsid w:val="001140CB"/>
    <w:rsid w:val="0011616B"/>
    <w:rsid w:val="0013367C"/>
    <w:rsid w:val="00133B3D"/>
    <w:rsid w:val="001479EE"/>
    <w:rsid w:val="00167B4F"/>
    <w:rsid w:val="00193E7C"/>
    <w:rsid w:val="001968DB"/>
    <w:rsid w:val="001B5B1F"/>
    <w:rsid w:val="001B6EBF"/>
    <w:rsid w:val="001C0271"/>
    <w:rsid w:val="001F26DE"/>
    <w:rsid w:val="001F6F97"/>
    <w:rsid w:val="00201B4C"/>
    <w:rsid w:val="00204E60"/>
    <w:rsid w:val="0020773C"/>
    <w:rsid w:val="0023229A"/>
    <w:rsid w:val="00234857"/>
    <w:rsid w:val="0024089C"/>
    <w:rsid w:val="002452A8"/>
    <w:rsid w:val="002473DE"/>
    <w:rsid w:val="0026343C"/>
    <w:rsid w:val="00292B94"/>
    <w:rsid w:val="00296323"/>
    <w:rsid w:val="002C66A1"/>
    <w:rsid w:val="002D668C"/>
    <w:rsid w:val="002F1684"/>
    <w:rsid w:val="002F2D4A"/>
    <w:rsid w:val="002F3498"/>
    <w:rsid w:val="00322D45"/>
    <w:rsid w:val="003457EE"/>
    <w:rsid w:val="00353BB8"/>
    <w:rsid w:val="00374650"/>
    <w:rsid w:val="00395FE6"/>
    <w:rsid w:val="003B0184"/>
    <w:rsid w:val="003B0CDB"/>
    <w:rsid w:val="003B6314"/>
    <w:rsid w:val="003C1ECA"/>
    <w:rsid w:val="003C7EE0"/>
    <w:rsid w:val="003D241D"/>
    <w:rsid w:val="003D6F25"/>
    <w:rsid w:val="003E4E72"/>
    <w:rsid w:val="003F74FC"/>
    <w:rsid w:val="003F7BEB"/>
    <w:rsid w:val="00436BBF"/>
    <w:rsid w:val="004468DB"/>
    <w:rsid w:val="00447D09"/>
    <w:rsid w:val="00451641"/>
    <w:rsid w:val="00467D26"/>
    <w:rsid w:val="004731E4"/>
    <w:rsid w:val="00475153"/>
    <w:rsid w:val="00475856"/>
    <w:rsid w:val="0049112F"/>
    <w:rsid w:val="004A04C9"/>
    <w:rsid w:val="004B59BD"/>
    <w:rsid w:val="004B6087"/>
    <w:rsid w:val="004C2AA3"/>
    <w:rsid w:val="004C3ECD"/>
    <w:rsid w:val="004D5DBD"/>
    <w:rsid w:val="004E7B0C"/>
    <w:rsid w:val="0053208B"/>
    <w:rsid w:val="005341D1"/>
    <w:rsid w:val="00543716"/>
    <w:rsid w:val="00552944"/>
    <w:rsid w:val="00552A1E"/>
    <w:rsid w:val="005759EE"/>
    <w:rsid w:val="0058315D"/>
    <w:rsid w:val="005833EC"/>
    <w:rsid w:val="00591E10"/>
    <w:rsid w:val="005942A5"/>
    <w:rsid w:val="005A5CE5"/>
    <w:rsid w:val="005B096B"/>
    <w:rsid w:val="005C5A8A"/>
    <w:rsid w:val="005D1438"/>
    <w:rsid w:val="0061318A"/>
    <w:rsid w:val="00635C6A"/>
    <w:rsid w:val="00662020"/>
    <w:rsid w:val="00665A91"/>
    <w:rsid w:val="00665AAB"/>
    <w:rsid w:val="00671572"/>
    <w:rsid w:val="00683D1D"/>
    <w:rsid w:val="00685658"/>
    <w:rsid w:val="00691BDD"/>
    <w:rsid w:val="006A066A"/>
    <w:rsid w:val="006A4AFF"/>
    <w:rsid w:val="006C2BC8"/>
    <w:rsid w:val="006C4577"/>
    <w:rsid w:val="006D3B20"/>
    <w:rsid w:val="006D4AF0"/>
    <w:rsid w:val="00701C65"/>
    <w:rsid w:val="0070748C"/>
    <w:rsid w:val="0071381B"/>
    <w:rsid w:val="0071597C"/>
    <w:rsid w:val="00721384"/>
    <w:rsid w:val="00721F11"/>
    <w:rsid w:val="00727BFA"/>
    <w:rsid w:val="00753737"/>
    <w:rsid w:val="00762A5F"/>
    <w:rsid w:val="007875CC"/>
    <w:rsid w:val="007A6AFF"/>
    <w:rsid w:val="007F1C7D"/>
    <w:rsid w:val="007F32F2"/>
    <w:rsid w:val="0080201B"/>
    <w:rsid w:val="00802AF1"/>
    <w:rsid w:val="008153A2"/>
    <w:rsid w:val="00816F65"/>
    <w:rsid w:val="008170C7"/>
    <w:rsid w:val="0082227D"/>
    <w:rsid w:val="00822283"/>
    <w:rsid w:val="00823CC5"/>
    <w:rsid w:val="0082765E"/>
    <w:rsid w:val="00834899"/>
    <w:rsid w:val="008435D5"/>
    <w:rsid w:val="008A27B9"/>
    <w:rsid w:val="008A2D7D"/>
    <w:rsid w:val="008B3788"/>
    <w:rsid w:val="008D1F88"/>
    <w:rsid w:val="00914505"/>
    <w:rsid w:val="0094579F"/>
    <w:rsid w:val="00951B41"/>
    <w:rsid w:val="00955E23"/>
    <w:rsid w:val="00960087"/>
    <w:rsid w:val="00960506"/>
    <w:rsid w:val="0096291E"/>
    <w:rsid w:val="00967623"/>
    <w:rsid w:val="00983463"/>
    <w:rsid w:val="009A64C7"/>
    <w:rsid w:val="009C0DEE"/>
    <w:rsid w:val="009C3FC9"/>
    <w:rsid w:val="009C623C"/>
    <w:rsid w:val="009E19A5"/>
    <w:rsid w:val="009E513B"/>
    <w:rsid w:val="009F6F99"/>
    <w:rsid w:val="00A3534B"/>
    <w:rsid w:val="00A62430"/>
    <w:rsid w:val="00A70014"/>
    <w:rsid w:val="00A76416"/>
    <w:rsid w:val="00A8251D"/>
    <w:rsid w:val="00A829CA"/>
    <w:rsid w:val="00AA15A9"/>
    <w:rsid w:val="00AA72C1"/>
    <w:rsid w:val="00AC3C17"/>
    <w:rsid w:val="00AD0B41"/>
    <w:rsid w:val="00AE2C8C"/>
    <w:rsid w:val="00B06AD0"/>
    <w:rsid w:val="00B140C0"/>
    <w:rsid w:val="00B15E8C"/>
    <w:rsid w:val="00B44E8F"/>
    <w:rsid w:val="00B61207"/>
    <w:rsid w:val="00B652B1"/>
    <w:rsid w:val="00B668E5"/>
    <w:rsid w:val="00B760F2"/>
    <w:rsid w:val="00B93D92"/>
    <w:rsid w:val="00B96414"/>
    <w:rsid w:val="00BA6591"/>
    <w:rsid w:val="00C1169F"/>
    <w:rsid w:val="00C3479D"/>
    <w:rsid w:val="00C53284"/>
    <w:rsid w:val="00C6706F"/>
    <w:rsid w:val="00C7630C"/>
    <w:rsid w:val="00C87344"/>
    <w:rsid w:val="00C91022"/>
    <w:rsid w:val="00C9380C"/>
    <w:rsid w:val="00CA3DB9"/>
    <w:rsid w:val="00CD5535"/>
    <w:rsid w:val="00CD5EC8"/>
    <w:rsid w:val="00D06798"/>
    <w:rsid w:val="00D16439"/>
    <w:rsid w:val="00D238F7"/>
    <w:rsid w:val="00D323E0"/>
    <w:rsid w:val="00D4465D"/>
    <w:rsid w:val="00D5324B"/>
    <w:rsid w:val="00D53F99"/>
    <w:rsid w:val="00D554FB"/>
    <w:rsid w:val="00D65A8D"/>
    <w:rsid w:val="00D7020B"/>
    <w:rsid w:val="00D750B9"/>
    <w:rsid w:val="00D863D5"/>
    <w:rsid w:val="00D86A7C"/>
    <w:rsid w:val="00D95638"/>
    <w:rsid w:val="00D97514"/>
    <w:rsid w:val="00DA4400"/>
    <w:rsid w:val="00DA5A2E"/>
    <w:rsid w:val="00DA7C4E"/>
    <w:rsid w:val="00DB0B04"/>
    <w:rsid w:val="00DB209A"/>
    <w:rsid w:val="00DB3AD1"/>
    <w:rsid w:val="00DB5C34"/>
    <w:rsid w:val="00DC2899"/>
    <w:rsid w:val="00DC4DDA"/>
    <w:rsid w:val="00DD32C2"/>
    <w:rsid w:val="00E0005B"/>
    <w:rsid w:val="00E2593E"/>
    <w:rsid w:val="00E44EBA"/>
    <w:rsid w:val="00E46FF4"/>
    <w:rsid w:val="00E51184"/>
    <w:rsid w:val="00E74FCC"/>
    <w:rsid w:val="00E80CE8"/>
    <w:rsid w:val="00E97EBB"/>
    <w:rsid w:val="00EB2B07"/>
    <w:rsid w:val="00EB3E4C"/>
    <w:rsid w:val="00EB7F76"/>
    <w:rsid w:val="00EE286E"/>
    <w:rsid w:val="00EF5CF6"/>
    <w:rsid w:val="00EF60EB"/>
    <w:rsid w:val="00F04C83"/>
    <w:rsid w:val="00F356BF"/>
    <w:rsid w:val="00F41742"/>
    <w:rsid w:val="00F664F4"/>
    <w:rsid w:val="00F747E4"/>
    <w:rsid w:val="00F949D8"/>
    <w:rsid w:val="00FA7F3C"/>
    <w:rsid w:val="00FB054C"/>
    <w:rsid w:val="00FC0116"/>
    <w:rsid w:val="00FC3536"/>
    <w:rsid w:val="00FF449B"/>
    <w:rsid w:val="00FF7039"/>
  </w:rsids>
  <m:mathPr>
    <m:mathFont m:val="Cambria Math"/>
    <m:brkBin m:val="before"/>
    <m:brkBinSub m:val="--"/>
    <m:smallFrac/>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2015-05-18T15:38:00Z</cp:lastPrinted>
  <dcterms:created xsi:type="dcterms:W3CDTF">2015-05-18T15:30:00Z</dcterms:created>
  <dcterms:modified xsi:type="dcterms:W3CDTF">2015-05-18T15:38:00Z</dcterms:modified>
</cp:coreProperties>
</file>