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E8F" w:rsidRPr="00DD32C2" w:rsidRDefault="000830F1" w:rsidP="0082227D">
      <w:pPr>
        <w:keepNext/>
        <w:keepLines/>
        <w:spacing w:before="480" w:after="0"/>
        <w:jc w:val="both"/>
        <w:outlineLvl w:val="0"/>
        <w:rPr>
          <w:rFonts w:ascii="Cambria" w:eastAsia="Times New Roman" w:hAnsi="Cambria" w:cs="Times New Roman"/>
          <w:b/>
          <w:bCs/>
          <w:lang w:val="uz-Cyrl-UZ"/>
        </w:rPr>
      </w:pPr>
      <w:r w:rsidRPr="00DD32C2">
        <w:rPr>
          <w:rFonts w:ascii="Cambria" w:eastAsia="Times New Roman" w:hAnsi="Cambria" w:cs="Times New Roman"/>
          <w:b/>
          <w:bCs/>
          <w:noProof/>
          <w:color w:val="365F91"/>
          <w:lang w:val="sr-Latn-ME" w:eastAsia="sr-Latn-ME"/>
        </w:rPr>
        <w:drawing>
          <wp:anchor distT="0" distB="0" distL="114300" distR="114300" simplePos="0" relativeHeight="251659264" behindDoc="1" locked="0" layoutInCell="1" allowOverlap="1" wp14:anchorId="217A494F" wp14:editId="6B5B1A43">
            <wp:simplePos x="0" y="0"/>
            <wp:positionH relativeFrom="column">
              <wp:posOffset>-146685</wp:posOffset>
            </wp:positionH>
            <wp:positionV relativeFrom="paragraph">
              <wp:posOffset>-526415</wp:posOffset>
            </wp:positionV>
            <wp:extent cx="3081655" cy="1217930"/>
            <wp:effectExtent l="0" t="0" r="4445" b="1270"/>
            <wp:wrapNone/>
            <wp:docPr id="5" name="Picture 5" descr="NOV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I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655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30F1" w:rsidRPr="00DD32C2" w:rsidRDefault="000830F1" w:rsidP="002D668C">
      <w:pPr>
        <w:keepNext/>
        <w:keepLines/>
        <w:spacing w:before="480" w:after="240"/>
        <w:jc w:val="both"/>
        <w:outlineLvl w:val="0"/>
        <w:rPr>
          <w:rFonts w:ascii="Cambria" w:eastAsia="Times New Roman" w:hAnsi="Cambria" w:cs="Times New Roman"/>
          <w:b/>
          <w:bCs/>
          <w:lang w:val="uz-Cyrl-UZ"/>
        </w:rPr>
      </w:pPr>
      <w:bookmarkStart w:id="0" w:name="_GoBack"/>
      <w:bookmarkEnd w:id="0"/>
      <w:r w:rsidRPr="00DD32C2">
        <w:rPr>
          <w:rFonts w:ascii="Cambria" w:eastAsia="Times New Roman" w:hAnsi="Cambria" w:cs="Times New Roman"/>
          <w:b/>
          <w:bCs/>
          <w:lang w:val="uz-Cyrl-UZ"/>
        </w:rPr>
        <w:t xml:space="preserve">Sloboda izražavanja – presude Evropskog suda za ljudska prava </w:t>
      </w:r>
    </w:p>
    <w:p w:rsidR="000830F1" w:rsidRPr="00DD32C2" w:rsidRDefault="0082227D" w:rsidP="002D668C">
      <w:pPr>
        <w:keepNext/>
        <w:keepLines/>
        <w:spacing w:before="480" w:after="0"/>
        <w:jc w:val="both"/>
        <w:outlineLvl w:val="0"/>
        <w:rPr>
          <w:rFonts w:ascii="Cambria" w:eastAsia="Times New Roman" w:hAnsi="Cambria" w:cs="Times New Roman"/>
          <w:b/>
          <w:bCs/>
          <w:lang w:val="uz-Cyrl-UZ"/>
        </w:rPr>
      </w:pPr>
      <w:r w:rsidRPr="00DD32C2">
        <w:rPr>
          <w:rFonts w:ascii="Cambria" w:eastAsia="Times New Roman" w:hAnsi="Cambria" w:cs="Times New Roman"/>
          <w:b/>
          <w:bCs/>
          <w:lang w:val="uz-Cyrl-UZ"/>
        </w:rPr>
        <w:t>Bilten XLVI</w:t>
      </w:r>
      <w:r w:rsidR="00E46FF4">
        <w:rPr>
          <w:rFonts w:ascii="Cambria" w:eastAsia="Times New Roman" w:hAnsi="Cambria" w:cs="Times New Roman"/>
          <w:b/>
          <w:bCs/>
          <w:lang w:val="sr-Latn-ME"/>
        </w:rPr>
        <w:t>I</w:t>
      </w:r>
      <w:r w:rsidR="000830F1" w:rsidRPr="00DD32C2">
        <w:rPr>
          <w:rFonts w:ascii="Cambria" w:eastAsia="Times New Roman" w:hAnsi="Cambria" w:cs="Times New Roman"/>
          <w:b/>
          <w:bCs/>
          <w:lang w:val="uz-Cyrl-UZ"/>
        </w:rPr>
        <w:t xml:space="preserve">: PREGLED PRESUDA IZ OKTOBRA </w:t>
      </w:r>
      <w:r w:rsidRPr="00DD32C2">
        <w:rPr>
          <w:rFonts w:ascii="Cambria" w:eastAsia="Times New Roman" w:hAnsi="Cambria" w:cs="Times New Roman"/>
          <w:b/>
          <w:bCs/>
          <w:lang w:val="uz-Cyrl-UZ"/>
        </w:rPr>
        <w:t xml:space="preserve">– DECEMBRA </w:t>
      </w:r>
      <w:r w:rsidR="000830F1" w:rsidRPr="00DD32C2">
        <w:rPr>
          <w:rFonts w:ascii="Cambria" w:eastAsia="Times New Roman" w:hAnsi="Cambria" w:cs="Times New Roman"/>
          <w:b/>
          <w:bCs/>
          <w:lang w:val="uz-Cyrl-UZ"/>
        </w:rPr>
        <w:t>2014.</w:t>
      </w:r>
    </w:p>
    <w:p w:rsidR="000830F1" w:rsidRPr="00DD32C2" w:rsidRDefault="00D06798" w:rsidP="002D668C">
      <w:pPr>
        <w:spacing w:line="480" w:lineRule="auto"/>
        <w:jc w:val="both"/>
        <w:rPr>
          <w:rFonts w:ascii="Calibri" w:eastAsia="Calibri" w:hAnsi="Calibri" w:cs="Times New Roman"/>
          <w:i/>
          <w:lang w:val="uz-Cyrl-UZ"/>
        </w:rPr>
      </w:pPr>
      <w:r w:rsidRPr="00DD32C2">
        <w:rPr>
          <w:rFonts w:ascii="Calibri" w:eastAsia="Calibri" w:hAnsi="Calibri" w:cs="Times New Roman"/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0B6FE2" wp14:editId="4ECFE82C">
                <wp:simplePos x="0" y="0"/>
                <wp:positionH relativeFrom="column">
                  <wp:posOffset>-25535</wp:posOffset>
                </wp:positionH>
                <wp:positionV relativeFrom="paragraph">
                  <wp:posOffset>423545</wp:posOffset>
                </wp:positionV>
                <wp:extent cx="5839460" cy="635"/>
                <wp:effectExtent l="0" t="0" r="27940" b="37465"/>
                <wp:wrapNone/>
                <wp:docPr id="4" name="Curved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9460" cy="63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19050">
                          <a:solidFill>
                            <a:srgbClr val="9900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4" o:spid="_x0000_s1026" type="#_x0000_t38" style="position:absolute;margin-left:-2pt;margin-top:33.35pt;width:459.8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" adj="10800" strokecolor="#903" strokeweight="1.5pt"/>
            </w:pict>
          </mc:Fallback>
        </mc:AlternateContent>
      </w:r>
      <w:r w:rsidR="0082227D" w:rsidRPr="00DD32C2">
        <w:rPr>
          <w:rFonts w:ascii="Calibri" w:eastAsia="Calibri" w:hAnsi="Calibri" w:cs="Times New Roman"/>
          <w:i/>
          <w:lang w:val="uz-Cyrl-UZ"/>
        </w:rPr>
        <w:t xml:space="preserve">12. januar </w:t>
      </w:r>
      <w:r w:rsidR="000830F1" w:rsidRPr="00DD32C2">
        <w:rPr>
          <w:rFonts w:ascii="Calibri" w:eastAsia="Calibri" w:hAnsi="Calibri" w:cs="Times New Roman"/>
          <w:i/>
          <w:lang w:val="uz-Cyrl-UZ"/>
        </w:rPr>
        <w:t xml:space="preserve"> 2014.</w:t>
      </w:r>
    </w:p>
    <w:p w:rsidR="000830F1" w:rsidRPr="00DD32C2" w:rsidRDefault="000830F1" w:rsidP="002D668C">
      <w:pPr>
        <w:spacing w:after="0"/>
        <w:contextualSpacing/>
        <w:jc w:val="both"/>
        <w:rPr>
          <w:rFonts w:ascii="Calibri" w:eastAsia="Calibri" w:hAnsi="Calibri" w:cs="Times New Roman"/>
          <w:lang w:val="uz-Cyrl-UZ"/>
        </w:rPr>
      </w:pPr>
    </w:p>
    <w:p w:rsidR="00B44E8F" w:rsidRPr="00E80CE8" w:rsidRDefault="006C4577" w:rsidP="002D668C">
      <w:pPr>
        <w:jc w:val="both"/>
        <w:rPr>
          <w:rFonts w:eastAsia="Calibri" w:cs="Times New Roman"/>
          <w:lang w:val="uz-Cyrl-UZ"/>
        </w:rPr>
      </w:pPr>
      <w:r w:rsidRPr="00E51184">
        <w:rPr>
          <w:rFonts w:eastAsia="Calibri" w:cs="Times New Roman"/>
          <w:highlight w:val="yellow"/>
          <w:lang w:val="uz-Cyrl-UZ"/>
        </w:rPr>
        <w:t xml:space="preserve">Tokom decembra 2014. Evropski sud za ljudska prava nije odlučivao o predmetima </w:t>
      </w:r>
      <w:r w:rsidR="00436BBF" w:rsidRPr="00E51184">
        <w:rPr>
          <w:rFonts w:eastAsia="Calibri" w:cs="Times New Roman"/>
          <w:highlight w:val="yellow"/>
          <w:lang w:val="uz-Cyrl-UZ"/>
        </w:rPr>
        <w:t>koji se odnose na slobodu izražavanja.</w:t>
      </w:r>
      <w:r w:rsidR="008A2D7D" w:rsidRPr="00E51184">
        <w:rPr>
          <w:rFonts w:eastAsia="Calibri" w:cs="Times New Roman"/>
          <w:highlight w:val="yellow"/>
          <w:lang w:val="uz-Cyrl-UZ"/>
        </w:rPr>
        <w:t xml:space="preserve"> Međutim, ustavni i apelacioni sudovi širom Evrope su donijeli sljedeće važne presude:</w:t>
      </w:r>
    </w:p>
    <w:p w:rsidR="008A2D7D" w:rsidRPr="00E80CE8" w:rsidRDefault="00E80CE8" w:rsidP="002D668C">
      <w:pPr>
        <w:pStyle w:val="ListParagraph"/>
        <w:numPr>
          <w:ilvl w:val="0"/>
          <w:numId w:val="2"/>
        </w:numPr>
        <w:jc w:val="both"/>
        <w:rPr>
          <w:lang w:val="uz-Cyrl-UZ"/>
        </w:rPr>
      </w:pPr>
      <w:r w:rsidRPr="00E80CE8">
        <w:rPr>
          <w:b/>
          <w:i/>
          <w:lang w:val="uz-Cyrl-UZ"/>
        </w:rPr>
        <w:t>„Pravo na zaborav“</w:t>
      </w:r>
      <w:r w:rsidR="008A2D7D" w:rsidRPr="00E80CE8">
        <w:rPr>
          <w:lang w:val="uz-Cyrl-UZ"/>
        </w:rPr>
        <w:t>, Amsterdamski sud, predmet br. C/13/569654 / KG ZA 14-960, 18. septembar 2</w:t>
      </w:r>
      <w:r w:rsidRPr="00E80CE8">
        <w:rPr>
          <w:lang w:val="uz-Cyrl-UZ"/>
        </w:rPr>
        <w:t>014: osuđeni kriminalci nemaju „pravo da budu zaboravljeni“</w:t>
      </w:r>
      <w:r w:rsidR="00234857" w:rsidRPr="00E80CE8">
        <w:rPr>
          <w:lang w:val="uz-Cyrl-UZ"/>
        </w:rPr>
        <w:t>;</w:t>
      </w:r>
    </w:p>
    <w:p w:rsidR="008A2D7D" w:rsidRPr="00E80CE8" w:rsidRDefault="008A2D7D" w:rsidP="002D668C">
      <w:pPr>
        <w:pStyle w:val="ListParagraph"/>
        <w:numPr>
          <w:ilvl w:val="0"/>
          <w:numId w:val="2"/>
        </w:numPr>
        <w:jc w:val="both"/>
        <w:rPr>
          <w:lang w:val="uz-Cyrl-UZ"/>
        </w:rPr>
      </w:pPr>
      <w:r w:rsidRPr="00E80CE8">
        <w:rPr>
          <w:b/>
          <w:i/>
          <w:lang w:val="uz-Cyrl-UZ"/>
        </w:rPr>
        <w:t>Be</w:t>
      </w:r>
      <w:r w:rsidR="00E44EBA" w:rsidRPr="00E80CE8">
        <w:rPr>
          <w:b/>
          <w:i/>
          <w:lang w:val="uz-Cyrl-UZ"/>
        </w:rPr>
        <w:t>lhadad protiv  Girard, Paolini i</w:t>
      </w:r>
      <w:r w:rsidRPr="00E80CE8">
        <w:rPr>
          <w:b/>
          <w:i/>
          <w:lang w:val="uz-Cyrl-UZ"/>
        </w:rPr>
        <w:t xml:space="preserve"> drugih</w:t>
      </w:r>
      <w:r w:rsidRPr="00E80CE8">
        <w:rPr>
          <w:i/>
          <w:lang w:val="uz-Cyrl-UZ"/>
        </w:rPr>
        <w:t xml:space="preserve">, </w:t>
      </w:r>
      <w:r w:rsidRPr="00E80CE8">
        <w:rPr>
          <w:lang w:val="uz-Cyrl-UZ"/>
        </w:rPr>
        <w:t>Regionalni sud Pariza</w:t>
      </w:r>
      <w:r w:rsidR="003C1ECA" w:rsidRPr="00E80CE8">
        <w:rPr>
          <w:lang w:val="uz-Cyrl-UZ"/>
        </w:rPr>
        <w:t xml:space="preserve"> </w:t>
      </w:r>
      <w:r w:rsidR="00E80CE8" w:rsidRPr="00E80CE8">
        <w:rPr>
          <w:lang w:val="uz-Cyrl-UZ"/>
        </w:rPr>
        <w:t>(V</w:t>
      </w:r>
      <w:r w:rsidRPr="00E80CE8">
        <w:rPr>
          <w:lang w:val="uz-Cyrl-UZ"/>
        </w:rPr>
        <w:t xml:space="preserve">ijeće za štampu), 17. oktobar 2014: dobra namjera novinara je značila da </w:t>
      </w:r>
      <w:r w:rsidR="00234857" w:rsidRPr="00E80CE8">
        <w:rPr>
          <w:lang w:val="uz-Cyrl-UZ"/>
        </w:rPr>
        <w:t>pogrešno prikazi</w:t>
      </w:r>
      <w:r w:rsidR="003C1ECA" w:rsidRPr="00E80CE8">
        <w:rPr>
          <w:lang w:val="uz-Cyrl-UZ"/>
        </w:rPr>
        <w:t>vanje osobe kao teroriste nije bilo kleveta</w:t>
      </w:r>
      <w:r w:rsidR="00234857" w:rsidRPr="00E80CE8">
        <w:rPr>
          <w:lang w:val="uz-Cyrl-UZ"/>
        </w:rPr>
        <w:t>;</w:t>
      </w:r>
    </w:p>
    <w:p w:rsidR="008A2D7D" w:rsidRPr="00E80CE8" w:rsidRDefault="008A2D7D" w:rsidP="002D668C">
      <w:pPr>
        <w:pStyle w:val="ListParagraph"/>
        <w:numPr>
          <w:ilvl w:val="0"/>
          <w:numId w:val="2"/>
        </w:numPr>
        <w:jc w:val="both"/>
        <w:rPr>
          <w:lang w:val="uz-Cyrl-UZ"/>
        </w:rPr>
      </w:pPr>
      <w:r w:rsidRPr="00E80CE8">
        <w:rPr>
          <w:b/>
          <w:i/>
          <w:lang w:val="uz-Cyrl-UZ"/>
        </w:rPr>
        <w:t>‘Saint Projet’, ‘Insti</w:t>
      </w:r>
      <w:r w:rsidR="003C1ECA" w:rsidRPr="00E80CE8">
        <w:rPr>
          <w:b/>
          <w:i/>
          <w:lang w:val="uz-Cyrl-UZ"/>
        </w:rPr>
        <w:t xml:space="preserve">tut du Bon Pasteur’ i drugi protiv </w:t>
      </w:r>
      <w:r w:rsidR="00683D1D">
        <w:rPr>
          <w:b/>
          <w:i/>
          <w:lang w:val="uz-Cyrl-UZ"/>
        </w:rPr>
        <w:t>De Carolis, Pujadas</w:t>
      </w:r>
      <w:r w:rsidR="003C1ECA" w:rsidRPr="00E80CE8">
        <w:rPr>
          <w:b/>
          <w:i/>
          <w:lang w:val="uz-Cyrl-UZ"/>
        </w:rPr>
        <w:t xml:space="preserve"> i drugih</w:t>
      </w:r>
      <w:r w:rsidRPr="00E80CE8">
        <w:rPr>
          <w:lang w:val="uz-Cyrl-UZ"/>
        </w:rPr>
        <w:t xml:space="preserve">, </w:t>
      </w:r>
      <w:r w:rsidR="00E80CE8" w:rsidRPr="00E80CE8">
        <w:rPr>
          <w:lang w:val="uz-Cyrl-UZ"/>
        </w:rPr>
        <w:t>Regionalni sud Pariza (V</w:t>
      </w:r>
      <w:r w:rsidR="003C1ECA" w:rsidRPr="00E80CE8">
        <w:rPr>
          <w:lang w:val="uz-Cyrl-UZ"/>
        </w:rPr>
        <w:t>ijeće za štampu), 16. oktobar 2</w:t>
      </w:r>
      <w:r w:rsidR="00E80CE8">
        <w:rPr>
          <w:lang w:val="uz-Cyrl-UZ"/>
        </w:rPr>
        <w:t>014: upotreba skrivene kamere nije</w:t>
      </w:r>
      <w:r w:rsidR="003C1ECA" w:rsidRPr="00E80CE8">
        <w:rPr>
          <w:lang w:val="uz-Cyrl-UZ"/>
        </w:rPr>
        <w:t xml:space="preserve"> znači</w:t>
      </w:r>
      <w:r w:rsidR="00E80CE8">
        <w:rPr>
          <w:lang w:val="uz-Cyrl-UZ"/>
        </w:rPr>
        <w:t>la</w:t>
      </w:r>
      <w:r w:rsidR="003C1ECA" w:rsidRPr="00E80CE8">
        <w:rPr>
          <w:lang w:val="uz-Cyrl-UZ"/>
        </w:rPr>
        <w:t xml:space="preserve"> da novinari ne izvještavaju „dobronamjerno“</w:t>
      </w:r>
      <w:r w:rsidR="00234857" w:rsidRPr="00E80CE8">
        <w:rPr>
          <w:lang w:val="uz-Cyrl-UZ"/>
        </w:rPr>
        <w:t>;</w:t>
      </w:r>
    </w:p>
    <w:p w:rsidR="008A2D7D" w:rsidRPr="00E80CE8" w:rsidRDefault="003C1ECA" w:rsidP="002D668C">
      <w:pPr>
        <w:pStyle w:val="ListParagraph"/>
        <w:numPr>
          <w:ilvl w:val="0"/>
          <w:numId w:val="2"/>
        </w:numPr>
        <w:jc w:val="both"/>
        <w:rPr>
          <w:lang w:val="uz-Cyrl-UZ"/>
        </w:rPr>
      </w:pPr>
      <w:r w:rsidRPr="00E80CE8">
        <w:rPr>
          <w:b/>
          <w:i/>
          <w:lang w:val="uz-Cyrl-UZ"/>
        </w:rPr>
        <w:t>Savezni Vrhovni sud Njemačke</w:t>
      </w:r>
      <w:r w:rsidRPr="00E80CE8">
        <w:rPr>
          <w:lang w:val="uz-Cyrl-UZ"/>
        </w:rPr>
        <w:t>, predmet br</w:t>
      </w:r>
      <w:r w:rsidR="008A2D7D" w:rsidRPr="00E80CE8">
        <w:rPr>
          <w:lang w:val="uz-Cyrl-UZ"/>
        </w:rPr>
        <w:t>. VI ZR 490/12, 30</w:t>
      </w:r>
      <w:r w:rsidRPr="00E80CE8">
        <w:rPr>
          <w:lang w:val="uz-Cyrl-UZ"/>
        </w:rPr>
        <w:t>. septembar 2014: upotreba n</w:t>
      </w:r>
      <w:r w:rsidR="00B15E8C" w:rsidRPr="00E80CE8">
        <w:rPr>
          <w:lang w:val="uz-Cyrl-UZ"/>
        </w:rPr>
        <w:t>ezakonito pribavljenih imejlova</w:t>
      </w:r>
      <w:r w:rsidRPr="00E80CE8">
        <w:rPr>
          <w:lang w:val="uz-Cyrl-UZ"/>
        </w:rPr>
        <w:t xml:space="preserve"> je dozvoljena u svrhe izvještavanja</w:t>
      </w:r>
      <w:r w:rsidR="00E80CE8">
        <w:rPr>
          <w:lang w:val="uz-Cyrl-UZ"/>
        </w:rPr>
        <w:t>.</w:t>
      </w:r>
    </w:p>
    <w:p w:rsidR="008A2D7D" w:rsidRPr="00DD32C2" w:rsidRDefault="00E51184" w:rsidP="002D668C">
      <w:pPr>
        <w:jc w:val="both"/>
        <w:rPr>
          <w:rFonts w:eastAsia="Calibri" w:cs="Times New Roman"/>
          <w:lang w:val="uz-Cyrl-UZ"/>
        </w:rPr>
      </w:pPr>
      <w:r>
        <w:rPr>
          <w:rFonts w:eastAsia="Calibri" w:cs="Times New Roman"/>
          <w:lang w:val="uz-Cyrl-UZ"/>
        </w:rPr>
        <w:t>Sadržaj n</w:t>
      </w:r>
      <w:r w:rsidR="003C1ECA" w:rsidRPr="00DD32C2">
        <w:rPr>
          <w:rFonts w:eastAsia="Calibri" w:cs="Times New Roman"/>
          <w:lang w:val="uz-Cyrl-UZ"/>
        </w:rPr>
        <w:t>avedeni</w:t>
      </w:r>
      <w:r>
        <w:rPr>
          <w:rFonts w:eastAsia="Calibri" w:cs="Times New Roman"/>
          <w:lang w:val="uz-Cyrl-UZ"/>
        </w:rPr>
        <w:t>h</w:t>
      </w:r>
      <w:r w:rsidR="003C1ECA" w:rsidRPr="00DD32C2">
        <w:rPr>
          <w:rFonts w:eastAsia="Calibri" w:cs="Times New Roman"/>
          <w:lang w:val="uz-Cyrl-UZ"/>
        </w:rPr>
        <w:t xml:space="preserve"> predmet</w:t>
      </w:r>
      <w:r>
        <w:rPr>
          <w:rFonts w:eastAsia="Calibri" w:cs="Times New Roman"/>
          <w:lang w:val="uz-Cyrl-UZ"/>
        </w:rPr>
        <w:t>a</w:t>
      </w:r>
      <w:r w:rsidR="003C1ECA" w:rsidRPr="00DD32C2">
        <w:rPr>
          <w:rFonts w:eastAsia="Calibri" w:cs="Times New Roman"/>
          <w:lang w:val="uz-Cyrl-UZ"/>
        </w:rPr>
        <w:t>:</w:t>
      </w:r>
    </w:p>
    <w:p w:rsidR="00E80CE8" w:rsidRPr="00E80CE8" w:rsidRDefault="00E80CE8" w:rsidP="00E80CE8">
      <w:pPr>
        <w:pStyle w:val="ListParagraph"/>
        <w:numPr>
          <w:ilvl w:val="0"/>
          <w:numId w:val="7"/>
        </w:numPr>
        <w:jc w:val="both"/>
        <w:rPr>
          <w:lang w:val="uz-Cyrl-UZ"/>
        </w:rPr>
      </w:pPr>
      <w:r w:rsidRPr="00E80CE8">
        <w:rPr>
          <w:b/>
          <w:i/>
          <w:lang w:val="uz-Cyrl-UZ"/>
        </w:rPr>
        <w:t>„Pravo na zaborav“</w:t>
      </w:r>
      <w:r w:rsidRPr="00E80CE8">
        <w:rPr>
          <w:lang w:val="uz-Cyrl-UZ"/>
        </w:rPr>
        <w:t xml:space="preserve">, Amsterdamski sud, predmet br.  C/13/569654 / KG ZA 14-960, 18. septembar 2014: </w:t>
      </w:r>
      <w:r w:rsidRPr="00E80CE8">
        <w:rPr>
          <w:highlight w:val="yellow"/>
          <w:lang w:val="uz-Cyrl-UZ"/>
        </w:rPr>
        <w:t>osuđeni kriminalci nemaju „pravo da budu zaboravljeni“</w:t>
      </w:r>
      <w:r w:rsidRPr="00E80CE8">
        <w:rPr>
          <w:lang w:val="uz-Cyrl-UZ"/>
        </w:rPr>
        <w:t>;</w:t>
      </w:r>
    </w:p>
    <w:p w:rsidR="003C1ECA" w:rsidRPr="00DD32C2" w:rsidRDefault="00296323" w:rsidP="002D668C">
      <w:pPr>
        <w:jc w:val="both"/>
        <w:rPr>
          <w:rFonts w:eastAsia="Calibri" w:cs="Times New Roman"/>
          <w:lang w:val="uz-Cyrl-UZ"/>
        </w:rPr>
      </w:pPr>
      <w:r w:rsidRPr="00DD32C2">
        <w:rPr>
          <w:rFonts w:eastAsia="Calibri" w:cs="Times New Roman"/>
          <w:lang w:val="uz-Cyrl-UZ"/>
        </w:rPr>
        <w:t xml:space="preserve">Ovaj slučaj se odnosio na </w:t>
      </w:r>
      <w:r w:rsidR="002D668C" w:rsidRPr="00DD32C2">
        <w:rPr>
          <w:rFonts w:eastAsia="Calibri" w:cs="Times New Roman"/>
          <w:lang w:val="uz-Cyrl-UZ"/>
        </w:rPr>
        <w:t>osuđivanog</w:t>
      </w:r>
      <w:r w:rsidR="00DB209A" w:rsidRPr="00DD32C2">
        <w:rPr>
          <w:rFonts w:eastAsia="Calibri" w:cs="Times New Roman"/>
          <w:lang w:val="uz-Cyrl-UZ"/>
        </w:rPr>
        <w:t xml:space="preserve"> kriminalca koji je podnio zahtjev </w:t>
      </w:r>
      <w:r w:rsidR="00DB209A" w:rsidRPr="00983463">
        <w:rPr>
          <w:rFonts w:eastAsia="Calibri" w:cs="Times New Roman"/>
          <w:i/>
          <w:lang w:val="uz-Cyrl-UZ"/>
        </w:rPr>
        <w:t>Google</w:t>
      </w:r>
      <w:r w:rsidR="00DB209A" w:rsidRPr="00DD32C2">
        <w:rPr>
          <w:rFonts w:eastAsia="Calibri" w:cs="Times New Roman"/>
          <w:lang w:val="uz-Cyrl-UZ"/>
        </w:rPr>
        <w:t>-u da izbriše podatke o njegovoj krivičnoj osudi iz svog indeksa pretraživača.</w:t>
      </w:r>
      <w:r w:rsidR="002D668C" w:rsidRPr="00DD32C2">
        <w:rPr>
          <w:rFonts w:eastAsia="Calibri" w:cs="Times New Roman"/>
          <w:lang w:val="uz-Cyrl-UZ"/>
        </w:rPr>
        <w:t xml:space="preserve"> </w:t>
      </w:r>
      <w:r w:rsidR="00B15E8C" w:rsidRPr="00DD32C2">
        <w:rPr>
          <w:rFonts w:eastAsia="Calibri" w:cs="Times New Roman"/>
          <w:lang w:val="uz-Cyrl-UZ"/>
        </w:rPr>
        <w:t>Tužitelj</w:t>
      </w:r>
      <w:r w:rsidR="000E4531" w:rsidRPr="00DD32C2">
        <w:rPr>
          <w:rFonts w:eastAsia="Calibri" w:cs="Times New Roman"/>
          <w:lang w:val="uz-Cyrl-UZ"/>
        </w:rPr>
        <w:t xml:space="preserve"> </w:t>
      </w:r>
      <w:r w:rsidR="00E80CE8">
        <w:rPr>
          <w:rFonts w:eastAsia="Calibri" w:cs="Times New Roman"/>
          <w:lang w:val="uz-Cyrl-UZ"/>
        </w:rPr>
        <w:t>je 2012.</w:t>
      </w:r>
      <w:r w:rsidR="002D668C" w:rsidRPr="00DD32C2">
        <w:rPr>
          <w:rFonts w:eastAsia="Calibri" w:cs="Times New Roman"/>
          <w:lang w:val="uz-Cyrl-UZ"/>
        </w:rPr>
        <w:t xml:space="preserve"> </w:t>
      </w:r>
      <w:r w:rsidR="00E51184">
        <w:rPr>
          <w:rFonts w:eastAsia="Calibri" w:cs="Times New Roman"/>
          <w:lang w:val="uz-Cyrl-UZ"/>
        </w:rPr>
        <w:t xml:space="preserve">prvostepeno </w:t>
      </w:r>
      <w:r w:rsidR="002D668C" w:rsidRPr="00DD32C2">
        <w:rPr>
          <w:rFonts w:eastAsia="Calibri" w:cs="Times New Roman"/>
          <w:lang w:val="uz-Cyrl-UZ"/>
        </w:rPr>
        <w:t xml:space="preserve">osuđen za pokušaj navođenja na atentat, </w:t>
      </w:r>
      <w:r w:rsidR="002D668C" w:rsidRPr="00983463">
        <w:rPr>
          <w:rFonts w:eastAsia="Calibri" w:cs="Times New Roman"/>
          <w:lang w:val="uz-Cyrl-UZ"/>
        </w:rPr>
        <w:t>ali je uložio žalbu i dok je čekao njen ishod pušten je iz pritvora</w:t>
      </w:r>
      <w:r w:rsidR="002D668C" w:rsidRPr="00E51184">
        <w:rPr>
          <w:rFonts w:eastAsia="Calibri" w:cs="Times New Roman"/>
          <w:lang w:val="uz-Cyrl-UZ"/>
        </w:rPr>
        <w:t xml:space="preserve">. </w:t>
      </w:r>
      <w:r w:rsidR="0071381B" w:rsidRPr="00E51184">
        <w:rPr>
          <w:rFonts w:eastAsia="Calibri" w:cs="Times New Roman"/>
          <w:lang w:val="uz-Cyrl-UZ"/>
        </w:rPr>
        <w:t>Evidencija</w:t>
      </w:r>
      <w:r w:rsidR="0071381B" w:rsidRPr="00DD32C2">
        <w:rPr>
          <w:rFonts w:eastAsia="Calibri" w:cs="Times New Roman"/>
          <w:lang w:val="uz-Cyrl-UZ"/>
        </w:rPr>
        <w:t xml:space="preserve"> o njegovoj osudi je još uvijek bila dostupna na internetu i bila je među prv</w:t>
      </w:r>
      <w:r w:rsidR="00E51184">
        <w:rPr>
          <w:rFonts w:eastAsia="Calibri" w:cs="Times New Roman"/>
          <w:lang w:val="uz-Cyrl-UZ"/>
        </w:rPr>
        <w:t>orangiranim nalazima</w:t>
      </w:r>
      <w:r w:rsidR="0071381B" w:rsidRPr="00DD32C2">
        <w:rPr>
          <w:rFonts w:eastAsia="Calibri" w:cs="Times New Roman"/>
          <w:lang w:val="uz-Cyrl-UZ"/>
        </w:rPr>
        <w:t xml:space="preserve"> na </w:t>
      </w:r>
      <w:r w:rsidR="0071381B" w:rsidRPr="00983463">
        <w:rPr>
          <w:rFonts w:eastAsia="Calibri" w:cs="Times New Roman"/>
          <w:i/>
          <w:lang w:val="uz-Cyrl-UZ"/>
        </w:rPr>
        <w:t>Google</w:t>
      </w:r>
      <w:r w:rsidR="0071381B" w:rsidRPr="00DD32C2">
        <w:rPr>
          <w:rFonts w:eastAsia="Calibri" w:cs="Times New Roman"/>
          <w:lang w:val="uz-Cyrl-UZ"/>
        </w:rPr>
        <w:t xml:space="preserve">-u prilikom pretrage imena </w:t>
      </w:r>
      <w:r w:rsidR="000E4531" w:rsidRPr="00DD32C2">
        <w:rPr>
          <w:rFonts w:eastAsia="Calibri" w:cs="Times New Roman"/>
          <w:lang w:val="uz-Cyrl-UZ"/>
        </w:rPr>
        <w:t>tužitelja</w:t>
      </w:r>
      <w:r w:rsidR="0071381B" w:rsidRPr="00DD32C2">
        <w:rPr>
          <w:rFonts w:eastAsia="Calibri" w:cs="Times New Roman"/>
          <w:lang w:val="uz-Cyrl-UZ"/>
        </w:rPr>
        <w:t xml:space="preserve">. On je zahtijevao da se ovi linkovi uklone sa </w:t>
      </w:r>
      <w:r w:rsidR="0071381B" w:rsidRPr="00983463">
        <w:rPr>
          <w:rFonts w:eastAsia="Calibri" w:cs="Times New Roman"/>
          <w:i/>
          <w:lang w:val="uz-Cyrl-UZ"/>
        </w:rPr>
        <w:t>Google</w:t>
      </w:r>
      <w:r w:rsidR="0071381B" w:rsidRPr="00DD32C2">
        <w:rPr>
          <w:rFonts w:eastAsia="Calibri" w:cs="Times New Roman"/>
          <w:lang w:val="uz-Cyrl-UZ"/>
        </w:rPr>
        <w:t xml:space="preserve">-ovog indeksa, ali </w:t>
      </w:r>
      <w:r w:rsidR="00E51184">
        <w:rPr>
          <w:rFonts w:eastAsia="Calibri" w:cs="Times New Roman"/>
          <w:lang w:val="uz-Cyrl-UZ"/>
        </w:rPr>
        <w:t xml:space="preserve">je </w:t>
      </w:r>
      <w:r w:rsidR="0071381B" w:rsidRPr="00983463">
        <w:rPr>
          <w:rFonts w:eastAsia="Calibri" w:cs="Times New Roman"/>
          <w:i/>
          <w:lang w:val="uz-Cyrl-UZ"/>
        </w:rPr>
        <w:t>Google</w:t>
      </w:r>
      <w:r w:rsidR="0071381B" w:rsidRPr="00DD32C2">
        <w:rPr>
          <w:rFonts w:eastAsia="Calibri" w:cs="Times New Roman"/>
          <w:lang w:val="uz-Cyrl-UZ"/>
        </w:rPr>
        <w:t xml:space="preserve"> odbio da to uradi. On je potom tužio Google.</w:t>
      </w:r>
    </w:p>
    <w:p w:rsidR="0071381B" w:rsidRPr="00DD32C2" w:rsidRDefault="0071381B" w:rsidP="002D668C">
      <w:pPr>
        <w:jc w:val="both"/>
        <w:rPr>
          <w:lang w:val="uz-Cyrl-UZ"/>
        </w:rPr>
      </w:pPr>
      <w:r w:rsidRPr="00DD32C2">
        <w:rPr>
          <w:rFonts w:eastAsia="Calibri" w:cs="Times New Roman"/>
          <w:lang w:val="uz-Cyrl-UZ"/>
        </w:rPr>
        <w:t xml:space="preserve">Amsterdamski sud je razmatrao ovaj slučaj na osnovu nacionalnog zakona o zaštiti podataka, kao i na osnovu odluke Evropskog suda pravde u tzv. slučaju „Google Španija“, </w:t>
      </w:r>
      <w:r w:rsidR="000E4531" w:rsidRPr="00DD32C2">
        <w:rPr>
          <w:rFonts w:eastAsia="Calibri" w:cs="Times New Roman"/>
          <w:lang w:val="uz-Cyrl-UZ"/>
        </w:rPr>
        <w:t xml:space="preserve">u kom </w:t>
      </w:r>
      <w:r w:rsidRPr="00DD32C2">
        <w:rPr>
          <w:rFonts w:eastAsia="Calibri" w:cs="Times New Roman"/>
          <w:lang w:val="uz-Cyrl-UZ"/>
        </w:rPr>
        <w:t xml:space="preserve">je utvrđeno da se može zahtijevati od „Google-a“ da ukloni linkove koji su „neadekvatni, nebitni ili više nijesu relevantni, ili su pretjerani“. </w:t>
      </w:r>
      <w:r w:rsidR="000E4531" w:rsidRPr="00DD32C2">
        <w:rPr>
          <w:rFonts w:eastAsia="Calibri" w:cs="Times New Roman"/>
          <w:lang w:val="uz-Cyrl-UZ"/>
        </w:rPr>
        <w:t xml:space="preserve">Sud je izričito naglasio da </w:t>
      </w:r>
      <w:r w:rsidR="00234857" w:rsidRPr="00DD32C2">
        <w:rPr>
          <w:rFonts w:eastAsia="Calibri" w:cs="Times New Roman"/>
          <w:lang w:val="uz-Cyrl-UZ"/>
        </w:rPr>
        <w:t xml:space="preserve">zahtjevi za </w:t>
      </w:r>
      <w:r w:rsidR="0096291E" w:rsidRPr="00DD32C2">
        <w:rPr>
          <w:rFonts w:eastAsia="Calibri" w:cs="Times New Roman"/>
          <w:lang w:val="uz-Cyrl-UZ"/>
        </w:rPr>
        <w:t xml:space="preserve">uklanjanje u ovom slučaju ne uključuju samo osnovno pravo tužitelja na privatnost, već i da treba uzeti u obzir i pravo pretraživača na slobodu informacija, kao i interes korisnika interneta i pružalaca informacija na internetu. </w:t>
      </w:r>
      <w:r w:rsidR="0096291E" w:rsidRPr="00DD32C2">
        <w:rPr>
          <w:lang w:val="uz-Cyrl-UZ"/>
        </w:rPr>
        <w:t xml:space="preserve">Sud je istakao da </w:t>
      </w:r>
      <w:r w:rsidR="003F7BEB" w:rsidRPr="00DD32C2">
        <w:rPr>
          <w:lang w:val="uz-Cyrl-UZ"/>
        </w:rPr>
        <w:t xml:space="preserve">izvršenje </w:t>
      </w:r>
      <w:r w:rsidR="0096291E" w:rsidRPr="00DD32C2">
        <w:rPr>
          <w:lang w:val="uz-Cyrl-UZ"/>
        </w:rPr>
        <w:t>teško</w:t>
      </w:r>
      <w:r w:rsidR="003F7BEB" w:rsidRPr="00DD32C2">
        <w:rPr>
          <w:lang w:val="uz-Cyrl-UZ"/>
        </w:rPr>
        <w:t>g</w:t>
      </w:r>
      <w:r w:rsidR="0096291E" w:rsidRPr="00DD32C2">
        <w:rPr>
          <w:lang w:val="uz-Cyrl-UZ"/>
        </w:rPr>
        <w:t xml:space="preserve"> krivično</w:t>
      </w:r>
      <w:r w:rsidR="003F7BEB" w:rsidRPr="00DD32C2">
        <w:rPr>
          <w:lang w:val="uz-Cyrl-UZ"/>
        </w:rPr>
        <w:t>g</w:t>
      </w:r>
      <w:r w:rsidR="0096291E" w:rsidRPr="00DD32C2">
        <w:rPr>
          <w:lang w:val="uz-Cyrl-UZ"/>
        </w:rPr>
        <w:t xml:space="preserve"> d</w:t>
      </w:r>
      <w:r w:rsidR="003F7BEB" w:rsidRPr="00DD32C2">
        <w:rPr>
          <w:lang w:val="uz-Cyrl-UZ"/>
        </w:rPr>
        <w:t>jela</w:t>
      </w:r>
      <w:r w:rsidR="0096291E" w:rsidRPr="00DD32C2">
        <w:rPr>
          <w:lang w:val="uz-Cyrl-UZ"/>
        </w:rPr>
        <w:t xml:space="preserve"> neminovno</w:t>
      </w:r>
      <w:r w:rsidR="00E80CE8">
        <w:rPr>
          <w:lang w:val="uz-Cyrl-UZ"/>
        </w:rPr>
        <w:t xml:space="preserve"> ima</w:t>
      </w:r>
      <w:r w:rsidR="003F7BEB" w:rsidRPr="00DD32C2">
        <w:rPr>
          <w:lang w:val="uz-Cyrl-UZ"/>
        </w:rPr>
        <w:t xml:space="preserve"> za posljedicu mnogo (negativnog) publiciteta</w:t>
      </w:r>
      <w:r w:rsidR="0096291E" w:rsidRPr="00DD32C2">
        <w:rPr>
          <w:lang w:val="uz-Cyrl-UZ"/>
        </w:rPr>
        <w:t>, te</w:t>
      </w:r>
      <w:r w:rsidR="003F7BEB" w:rsidRPr="00DD32C2">
        <w:rPr>
          <w:lang w:val="uz-Cyrl-UZ"/>
        </w:rPr>
        <w:t xml:space="preserve"> će zajedno sa krivičnom</w:t>
      </w:r>
      <w:r w:rsidR="0096291E" w:rsidRPr="00DD32C2">
        <w:rPr>
          <w:lang w:val="uz-Cyrl-UZ"/>
        </w:rPr>
        <w:t xml:space="preserve"> presud</w:t>
      </w:r>
      <w:r w:rsidR="003F7BEB" w:rsidRPr="00DD32C2">
        <w:rPr>
          <w:lang w:val="uz-Cyrl-UZ"/>
        </w:rPr>
        <w:t>om</w:t>
      </w:r>
      <w:r w:rsidR="0096291E" w:rsidRPr="00DD32C2">
        <w:rPr>
          <w:lang w:val="uz-Cyrl-UZ"/>
        </w:rPr>
        <w:t xml:space="preserve"> </w:t>
      </w:r>
      <w:r w:rsidR="003F7BEB" w:rsidRPr="00DD32C2">
        <w:rPr>
          <w:lang w:val="uz-Cyrl-UZ"/>
        </w:rPr>
        <w:t>ostati kao relevantna informacija o osobi</w:t>
      </w:r>
      <w:r w:rsidR="0096291E" w:rsidRPr="00DD32C2">
        <w:rPr>
          <w:lang w:val="uz-Cyrl-UZ"/>
        </w:rPr>
        <w:t xml:space="preserve">. </w:t>
      </w:r>
      <w:r w:rsidR="003F7BEB" w:rsidRPr="00DD32C2">
        <w:rPr>
          <w:lang w:val="uz-Cyrl-UZ"/>
        </w:rPr>
        <w:t>Takve informacije se mogu smatrati „</w:t>
      </w:r>
      <w:r w:rsidR="0096291E" w:rsidRPr="00DD32C2">
        <w:rPr>
          <w:lang w:val="uz-Cyrl-UZ"/>
        </w:rPr>
        <w:t>pret</w:t>
      </w:r>
      <w:r w:rsidR="003F7BEB" w:rsidRPr="00DD32C2">
        <w:rPr>
          <w:lang w:val="uz-Cyrl-UZ"/>
        </w:rPr>
        <w:t>jeranim“ ili „</w:t>
      </w:r>
      <w:r w:rsidR="0096291E" w:rsidRPr="00DD32C2">
        <w:rPr>
          <w:lang w:val="uz-Cyrl-UZ"/>
        </w:rPr>
        <w:t>nepotrebno klevetnički</w:t>
      </w:r>
      <w:r w:rsidR="003F7BEB" w:rsidRPr="00DD32C2">
        <w:rPr>
          <w:lang w:val="uz-Cyrl-UZ"/>
        </w:rPr>
        <w:t>m“ samo u izuzetnim okolnostima</w:t>
      </w:r>
      <w:r w:rsidR="00E80CE8">
        <w:rPr>
          <w:lang w:val="uz-Cyrl-UZ"/>
        </w:rPr>
        <w:t>. Tužitelj</w:t>
      </w:r>
      <w:r w:rsidR="0096291E" w:rsidRPr="00DD32C2">
        <w:rPr>
          <w:lang w:val="uz-Cyrl-UZ"/>
        </w:rPr>
        <w:t xml:space="preserve"> </w:t>
      </w:r>
      <w:r w:rsidR="003F7BEB" w:rsidRPr="00DD32C2">
        <w:rPr>
          <w:lang w:val="uz-Cyrl-UZ"/>
        </w:rPr>
        <w:t>ni</w:t>
      </w:r>
      <w:r w:rsidR="0096291E" w:rsidRPr="00DD32C2">
        <w:rPr>
          <w:lang w:val="uz-Cyrl-UZ"/>
        </w:rPr>
        <w:t xml:space="preserve">je </w:t>
      </w:r>
      <w:r w:rsidR="003F7BEB" w:rsidRPr="00DD32C2">
        <w:rPr>
          <w:lang w:val="uz-Cyrl-UZ"/>
        </w:rPr>
        <w:t xml:space="preserve">u </w:t>
      </w:r>
      <w:r w:rsidR="0096291E" w:rsidRPr="00DD32C2">
        <w:rPr>
          <w:lang w:val="uz-Cyrl-UZ"/>
        </w:rPr>
        <w:lastRenderedPageBreak/>
        <w:t>dovoljno</w:t>
      </w:r>
      <w:r w:rsidR="003F7BEB" w:rsidRPr="00DD32C2">
        <w:rPr>
          <w:lang w:val="uz-Cyrl-UZ"/>
        </w:rPr>
        <w:t>j mjeri</w:t>
      </w:r>
      <w:r w:rsidR="00E80CE8">
        <w:rPr>
          <w:lang w:val="uz-Cyrl-UZ"/>
        </w:rPr>
        <w:t xml:space="preserve"> dokaza</w:t>
      </w:r>
      <w:r w:rsidR="0096291E" w:rsidRPr="00DD32C2">
        <w:rPr>
          <w:lang w:val="uz-Cyrl-UZ"/>
        </w:rPr>
        <w:t xml:space="preserve">o da su rezultati pretrage </w:t>
      </w:r>
      <w:r w:rsidR="003F7BEB" w:rsidRPr="00DD32C2">
        <w:rPr>
          <w:lang w:val="uz-Cyrl-UZ"/>
        </w:rPr>
        <w:t>bili nebitni, pretjerani</w:t>
      </w:r>
      <w:r w:rsidR="0096291E" w:rsidRPr="00DD32C2">
        <w:rPr>
          <w:lang w:val="uz-Cyrl-UZ"/>
        </w:rPr>
        <w:t xml:space="preserve"> il</w:t>
      </w:r>
      <w:r w:rsidR="003F7BEB" w:rsidRPr="00DD32C2">
        <w:rPr>
          <w:lang w:val="uz-Cyrl-UZ"/>
        </w:rPr>
        <w:t xml:space="preserve">i nepotrebno klevetnički, niti je ukazao na uvjerljiv, legitiman </w:t>
      </w:r>
      <w:r w:rsidR="0096291E" w:rsidRPr="00DD32C2">
        <w:rPr>
          <w:lang w:val="uz-Cyrl-UZ"/>
        </w:rPr>
        <w:t>osnov</w:t>
      </w:r>
      <w:r w:rsidR="00E80CE8">
        <w:rPr>
          <w:lang w:val="uz-Cyrl-UZ"/>
        </w:rPr>
        <w:t xml:space="preserve"> koji</w:t>
      </w:r>
      <w:r w:rsidR="0096291E" w:rsidRPr="00DD32C2">
        <w:rPr>
          <w:lang w:val="uz-Cyrl-UZ"/>
        </w:rPr>
        <w:t xml:space="preserve"> </w:t>
      </w:r>
      <w:r w:rsidR="003F7BEB" w:rsidRPr="00DD32C2">
        <w:rPr>
          <w:lang w:val="uz-Cyrl-UZ"/>
        </w:rPr>
        <w:t xml:space="preserve">bi zahtijevao da </w:t>
      </w:r>
      <w:r w:rsidR="0096291E" w:rsidRPr="00DD32C2">
        <w:rPr>
          <w:lang w:val="uz-Cyrl-UZ"/>
        </w:rPr>
        <w:t xml:space="preserve">Google </w:t>
      </w:r>
      <w:r w:rsidR="00E80CE8">
        <w:rPr>
          <w:lang w:val="uz-Cyrl-UZ"/>
        </w:rPr>
        <w:t xml:space="preserve">mora </w:t>
      </w:r>
      <w:r w:rsidR="003F7BEB" w:rsidRPr="00DD32C2">
        <w:rPr>
          <w:lang w:val="uz-Cyrl-UZ"/>
        </w:rPr>
        <w:t>ukloni</w:t>
      </w:r>
      <w:r w:rsidR="00E80CE8">
        <w:rPr>
          <w:lang w:val="uz-Cyrl-UZ"/>
        </w:rPr>
        <w:t>ti</w:t>
      </w:r>
      <w:r w:rsidR="003F7BEB" w:rsidRPr="00DD32C2">
        <w:rPr>
          <w:lang w:val="uz-Cyrl-UZ"/>
        </w:rPr>
        <w:t xml:space="preserve"> linkove</w:t>
      </w:r>
      <w:r w:rsidR="0096291E" w:rsidRPr="00DD32C2">
        <w:rPr>
          <w:lang w:val="uz-Cyrl-UZ"/>
        </w:rPr>
        <w:t xml:space="preserve">. Sud </w:t>
      </w:r>
      <w:r w:rsidR="003F7BEB" w:rsidRPr="00DD32C2">
        <w:rPr>
          <w:lang w:val="uz-Cyrl-UZ"/>
        </w:rPr>
        <w:t xml:space="preserve">je </w:t>
      </w:r>
      <w:r w:rsidR="0096291E" w:rsidRPr="00DD32C2">
        <w:rPr>
          <w:lang w:val="uz-Cyrl-UZ"/>
        </w:rPr>
        <w:t>stoga odbacio zah</w:t>
      </w:r>
      <w:r w:rsidR="00E80CE8">
        <w:rPr>
          <w:lang w:val="uz-Cyrl-UZ"/>
        </w:rPr>
        <w:t>jtev tužitelja</w:t>
      </w:r>
      <w:r w:rsidR="0096291E" w:rsidRPr="00DD32C2">
        <w:rPr>
          <w:lang w:val="uz-Cyrl-UZ"/>
        </w:rPr>
        <w:t>.</w:t>
      </w:r>
    </w:p>
    <w:p w:rsidR="003F7BEB" w:rsidRPr="00E80CE8" w:rsidRDefault="00E80CE8" w:rsidP="002D668C">
      <w:pPr>
        <w:pStyle w:val="ListParagraph"/>
        <w:numPr>
          <w:ilvl w:val="0"/>
          <w:numId w:val="7"/>
        </w:numPr>
        <w:jc w:val="both"/>
        <w:rPr>
          <w:lang w:val="uz-Cyrl-UZ"/>
        </w:rPr>
      </w:pPr>
      <w:r w:rsidRPr="00E80CE8">
        <w:rPr>
          <w:b/>
          <w:i/>
          <w:lang w:val="uz-Cyrl-UZ"/>
        </w:rPr>
        <w:t>Belhadad protiv  Girard, Paolini i drugih</w:t>
      </w:r>
      <w:r w:rsidRPr="00E80CE8">
        <w:rPr>
          <w:i/>
          <w:lang w:val="uz-Cyrl-UZ"/>
        </w:rPr>
        <w:t xml:space="preserve">, </w:t>
      </w:r>
      <w:r w:rsidRPr="00E80CE8">
        <w:rPr>
          <w:lang w:val="uz-Cyrl-UZ"/>
        </w:rPr>
        <w:t xml:space="preserve">Regionalni sud Pariza (Vijeće za štampu), 17. oktobar 2014: </w:t>
      </w:r>
      <w:r w:rsidRPr="00E80CE8">
        <w:rPr>
          <w:highlight w:val="yellow"/>
          <w:lang w:val="uz-Cyrl-UZ"/>
        </w:rPr>
        <w:t>dobra namjera novinara je značila da pogrešno prikazivanje osobe kao teroriste nije bilo kleveta</w:t>
      </w:r>
      <w:r w:rsidRPr="00E80CE8">
        <w:rPr>
          <w:lang w:val="uz-Cyrl-UZ"/>
        </w:rPr>
        <w:t>;</w:t>
      </w:r>
    </w:p>
    <w:p w:rsidR="0094579F" w:rsidRPr="00DD32C2" w:rsidRDefault="0094579F" w:rsidP="002D668C">
      <w:pPr>
        <w:jc w:val="both"/>
        <w:rPr>
          <w:lang w:val="uz-Cyrl-UZ"/>
        </w:rPr>
      </w:pPr>
      <w:r w:rsidRPr="00DD32C2">
        <w:rPr>
          <w:lang w:val="uz-Cyrl-UZ"/>
        </w:rPr>
        <w:t>U ovom predmetu je riječ o slučaju protiv direktora televizijskog kanala</w:t>
      </w:r>
      <w:r w:rsidR="00E80CE8">
        <w:rPr>
          <w:lang w:val="uz-Cyrl-UZ"/>
        </w:rPr>
        <w:t>,</w:t>
      </w:r>
      <w:r w:rsidRPr="00DD32C2">
        <w:rPr>
          <w:lang w:val="uz-Cyrl-UZ"/>
        </w:rPr>
        <w:t xml:space="preserve"> nje</w:t>
      </w:r>
      <w:r w:rsidR="00E80CE8">
        <w:rPr>
          <w:lang w:val="uz-Cyrl-UZ"/>
        </w:rPr>
        <w:t xml:space="preserve">gove </w:t>
      </w:r>
      <w:r w:rsidRPr="00DD32C2">
        <w:rPr>
          <w:lang w:val="uz-Cyrl-UZ"/>
        </w:rPr>
        <w:t xml:space="preserve">internet stranice, i novinara štampanog medija, koji je pokrenuo čovjek čija je slika prikazana na televiziji </w:t>
      </w:r>
      <w:r w:rsidR="00E80CE8">
        <w:rPr>
          <w:lang w:val="uz-Cyrl-UZ"/>
        </w:rPr>
        <w:t>u okviru informativnog</w:t>
      </w:r>
      <w:r w:rsidRPr="00DD32C2">
        <w:rPr>
          <w:lang w:val="uz-Cyrl-UZ"/>
        </w:rPr>
        <w:t xml:space="preserve"> prilog</w:t>
      </w:r>
      <w:r w:rsidR="00E80CE8">
        <w:rPr>
          <w:lang w:val="uz-Cyrl-UZ"/>
        </w:rPr>
        <w:t>a</w:t>
      </w:r>
      <w:r w:rsidRPr="00DD32C2">
        <w:rPr>
          <w:lang w:val="uz-Cyrl-UZ"/>
        </w:rPr>
        <w:t xml:space="preserve"> o protjerivanju pet islamskih ekstremista. </w:t>
      </w:r>
      <w:r w:rsidR="00E80CE8">
        <w:rPr>
          <w:lang w:val="uz-Cyrl-UZ"/>
        </w:rPr>
        <w:t>U k</w:t>
      </w:r>
      <w:r w:rsidRPr="00DD32C2">
        <w:rPr>
          <w:lang w:val="uz-Cyrl-UZ"/>
        </w:rPr>
        <w:t>omentar</w:t>
      </w:r>
      <w:r w:rsidR="00E80CE8">
        <w:rPr>
          <w:lang w:val="uz-Cyrl-UZ"/>
        </w:rPr>
        <w:t>u</w:t>
      </w:r>
      <w:r w:rsidRPr="00DD32C2">
        <w:rPr>
          <w:lang w:val="uz-Cyrl-UZ"/>
        </w:rPr>
        <w:t xml:space="preserve"> koji je pratio informativni </w:t>
      </w:r>
      <w:r w:rsidR="00E80CE8">
        <w:rPr>
          <w:lang w:val="uz-Cyrl-UZ"/>
        </w:rPr>
        <w:t xml:space="preserve">prilog se navodi </w:t>
      </w:r>
      <w:r w:rsidRPr="00DD32C2">
        <w:rPr>
          <w:lang w:val="uz-Cyrl-UZ"/>
        </w:rPr>
        <w:t>da je čovek proglašen krivim za terorističke napade počinjene u Maroku 1994. godine i da je održavao „redovan kontakt“ sa džihadistima koji su prošli kroz obuku na kampovima u Avganistanu i Pakistanu. Međutim, čovek je bio pogrešno identifikovan i tvrdio da je informativni prilog klevetnički.</w:t>
      </w:r>
    </w:p>
    <w:p w:rsidR="0011616B" w:rsidRPr="00DD32C2" w:rsidRDefault="0011616B" w:rsidP="002D668C">
      <w:pPr>
        <w:jc w:val="both"/>
        <w:rPr>
          <w:rFonts w:eastAsia="Calibri" w:cs="Times New Roman"/>
          <w:lang w:val="uz-Cyrl-UZ"/>
        </w:rPr>
      </w:pPr>
      <w:r w:rsidRPr="00DD32C2">
        <w:rPr>
          <w:rFonts w:eastAsia="Calibri" w:cs="Times New Roman"/>
          <w:lang w:val="uz-Cyrl-UZ"/>
        </w:rPr>
        <w:t xml:space="preserve">Vijeće za štampu </w:t>
      </w:r>
      <w:r w:rsidR="00E80CE8">
        <w:rPr>
          <w:rFonts w:eastAsia="Calibri" w:cs="Times New Roman"/>
          <w:lang w:val="uz-Cyrl-UZ"/>
        </w:rPr>
        <w:t>S</w:t>
      </w:r>
      <w:r w:rsidR="0094579F" w:rsidRPr="00DD32C2">
        <w:rPr>
          <w:rFonts w:eastAsia="Calibri" w:cs="Times New Roman"/>
          <w:lang w:val="uz-Cyrl-UZ"/>
        </w:rPr>
        <w:t xml:space="preserve">uda je utvrdilo da su objavljene informacije </w:t>
      </w:r>
      <w:r w:rsidR="003B0CDB" w:rsidRPr="00DD32C2">
        <w:rPr>
          <w:rFonts w:eastAsia="Calibri" w:cs="Times New Roman"/>
          <w:lang w:val="uz-Cyrl-UZ"/>
        </w:rPr>
        <w:t xml:space="preserve">očigledno </w:t>
      </w:r>
      <w:r w:rsidR="0094579F" w:rsidRPr="00DD32C2">
        <w:rPr>
          <w:rFonts w:eastAsia="Calibri" w:cs="Times New Roman"/>
          <w:lang w:val="uz-Cyrl-UZ"/>
        </w:rPr>
        <w:t>izazval</w:t>
      </w:r>
      <w:r w:rsidR="003B0CDB" w:rsidRPr="00DD32C2">
        <w:rPr>
          <w:rFonts w:eastAsia="Calibri" w:cs="Times New Roman"/>
          <w:lang w:val="uz-Cyrl-UZ"/>
        </w:rPr>
        <w:t xml:space="preserve">e </w:t>
      </w:r>
      <w:r w:rsidR="0094579F" w:rsidRPr="00DD32C2">
        <w:rPr>
          <w:rFonts w:eastAsia="Calibri" w:cs="Times New Roman"/>
          <w:lang w:val="uz-Cyrl-UZ"/>
        </w:rPr>
        <w:t xml:space="preserve">štetu </w:t>
      </w:r>
      <w:r w:rsidR="00E80CE8">
        <w:rPr>
          <w:rFonts w:eastAsia="Calibri" w:cs="Times New Roman"/>
          <w:lang w:val="uz-Cyrl-UZ"/>
        </w:rPr>
        <w:t xml:space="preserve">po </w:t>
      </w:r>
      <w:r w:rsidR="003B0CDB" w:rsidRPr="00DD32C2">
        <w:rPr>
          <w:rFonts w:eastAsia="Calibri" w:cs="Times New Roman"/>
          <w:lang w:val="uz-Cyrl-UZ"/>
        </w:rPr>
        <w:t>čast</w:t>
      </w:r>
      <w:r w:rsidR="00E80CE8">
        <w:rPr>
          <w:rFonts w:eastAsia="Calibri" w:cs="Times New Roman"/>
          <w:lang w:val="uz-Cyrl-UZ"/>
        </w:rPr>
        <w:t xml:space="preserve"> ovog čovjeka</w:t>
      </w:r>
      <w:r w:rsidR="003B0CDB" w:rsidRPr="00DD32C2">
        <w:rPr>
          <w:rFonts w:eastAsia="Calibri" w:cs="Times New Roman"/>
          <w:lang w:val="uz-Cyrl-UZ"/>
        </w:rPr>
        <w:t>. Međutim, Vijeće</w:t>
      </w:r>
      <w:r w:rsidR="0094579F" w:rsidRPr="00DD32C2">
        <w:rPr>
          <w:rFonts w:eastAsia="Calibri" w:cs="Times New Roman"/>
          <w:lang w:val="uz-Cyrl-UZ"/>
        </w:rPr>
        <w:t xml:space="preserve"> je utvrdio da novinari nisu bili od</w:t>
      </w:r>
      <w:r w:rsidR="00683D1D">
        <w:rPr>
          <w:rFonts w:eastAsia="Calibri" w:cs="Times New Roman"/>
          <w:lang w:val="uz-Cyrl-UZ"/>
        </w:rPr>
        <w:t>govorni za to jer su postupali dobronamjerno</w:t>
      </w:r>
      <w:r w:rsidR="0094579F" w:rsidRPr="00DD32C2">
        <w:rPr>
          <w:rFonts w:eastAsia="Calibri" w:cs="Times New Roman"/>
          <w:lang w:val="uz-Cyrl-UZ"/>
        </w:rPr>
        <w:t xml:space="preserve">. Sud je utvrdio da je cilj informativnog </w:t>
      </w:r>
      <w:r w:rsidR="003B0CDB" w:rsidRPr="00DD32C2">
        <w:rPr>
          <w:rFonts w:eastAsia="Calibri" w:cs="Times New Roman"/>
          <w:lang w:val="uz-Cyrl-UZ"/>
        </w:rPr>
        <w:t>priloga bio legitiman - naime</w:t>
      </w:r>
      <w:r w:rsidR="0094579F" w:rsidRPr="00DD32C2">
        <w:rPr>
          <w:rFonts w:eastAsia="Calibri" w:cs="Times New Roman"/>
          <w:lang w:val="uz-Cyrl-UZ"/>
        </w:rPr>
        <w:t xml:space="preserve">, da </w:t>
      </w:r>
      <w:r w:rsidR="003B0CDB" w:rsidRPr="00DD32C2">
        <w:rPr>
          <w:rFonts w:eastAsia="Calibri" w:cs="Times New Roman"/>
          <w:lang w:val="uz-Cyrl-UZ"/>
        </w:rPr>
        <w:t xml:space="preserve">izvijesti </w:t>
      </w:r>
      <w:r w:rsidR="0094579F" w:rsidRPr="00DD32C2">
        <w:rPr>
          <w:rFonts w:eastAsia="Calibri" w:cs="Times New Roman"/>
          <w:lang w:val="uz-Cyrl-UZ"/>
        </w:rPr>
        <w:t>o prot</w:t>
      </w:r>
      <w:r w:rsidR="003B0CDB" w:rsidRPr="00DD32C2">
        <w:rPr>
          <w:rFonts w:eastAsia="Calibri" w:cs="Times New Roman"/>
          <w:lang w:val="uz-Cyrl-UZ"/>
        </w:rPr>
        <w:t>j</w:t>
      </w:r>
      <w:r w:rsidR="0094579F" w:rsidRPr="00DD32C2">
        <w:rPr>
          <w:rFonts w:eastAsia="Calibri" w:cs="Times New Roman"/>
          <w:lang w:val="uz-Cyrl-UZ"/>
        </w:rPr>
        <w:t>erivanju</w:t>
      </w:r>
      <w:r w:rsidR="003B0CDB" w:rsidRPr="00DD32C2">
        <w:rPr>
          <w:rFonts w:eastAsia="Calibri" w:cs="Times New Roman"/>
          <w:lang w:val="uz-Cyrl-UZ"/>
        </w:rPr>
        <w:t xml:space="preserve"> ekstremista</w:t>
      </w:r>
      <w:r w:rsidR="00683D1D">
        <w:rPr>
          <w:rFonts w:eastAsia="Calibri" w:cs="Times New Roman"/>
          <w:lang w:val="uz-Cyrl-UZ"/>
        </w:rPr>
        <w:t xml:space="preserve"> </w:t>
      </w:r>
      <w:r w:rsidR="00683D1D" w:rsidRPr="00683D1D">
        <w:rPr>
          <w:rFonts w:eastAsia="Calibri" w:cs="Times New Roman"/>
          <w:lang w:val="uz-Cyrl-UZ"/>
        </w:rPr>
        <w:t>iz zemlje</w:t>
      </w:r>
      <w:r w:rsidR="0094579F" w:rsidRPr="00DD32C2">
        <w:rPr>
          <w:rFonts w:eastAsia="Calibri" w:cs="Times New Roman"/>
          <w:lang w:val="uz-Cyrl-UZ"/>
        </w:rPr>
        <w:t>. Ovo je pitanje</w:t>
      </w:r>
      <w:r w:rsidR="003B0CDB" w:rsidRPr="00DD32C2">
        <w:rPr>
          <w:rFonts w:eastAsia="Calibri" w:cs="Times New Roman"/>
          <w:lang w:val="uz-Cyrl-UZ"/>
        </w:rPr>
        <w:t xml:space="preserve"> od</w:t>
      </w:r>
      <w:r w:rsidR="0094579F" w:rsidRPr="00DD32C2">
        <w:rPr>
          <w:rFonts w:eastAsia="Calibri" w:cs="Times New Roman"/>
          <w:lang w:val="uz-Cyrl-UZ"/>
        </w:rPr>
        <w:t xml:space="preserve"> jasnog javnog interesa</w:t>
      </w:r>
      <w:r w:rsidR="003B0CDB" w:rsidRPr="00DD32C2">
        <w:rPr>
          <w:rFonts w:eastAsia="Calibri" w:cs="Times New Roman"/>
          <w:lang w:val="uz-Cyrl-UZ"/>
        </w:rPr>
        <w:t xml:space="preserve"> o kom</w:t>
      </w:r>
      <w:r w:rsidR="0094579F" w:rsidRPr="00DD32C2">
        <w:rPr>
          <w:rFonts w:eastAsia="Calibri" w:cs="Times New Roman"/>
          <w:lang w:val="uz-Cyrl-UZ"/>
        </w:rPr>
        <w:t xml:space="preserve"> su novinari </w:t>
      </w:r>
      <w:r w:rsidR="003B0CDB" w:rsidRPr="00DD32C2">
        <w:rPr>
          <w:rFonts w:eastAsia="Calibri" w:cs="Times New Roman"/>
          <w:lang w:val="uz-Cyrl-UZ"/>
        </w:rPr>
        <w:t xml:space="preserve">imali pravo da izvještavaju. </w:t>
      </w:r>
      <w:r w:rsidR="0094579F" w:rsidRPr="00DD32C2">
        <w:rPr>
          <w:rFonts w:eastAsia="Calibri" w:cs="Times New Roman"/>
          <w:lang w:val="uz-Cyrl-UZ"/>
        </w:rPr>
        <w:t>Novinari su</w:t>
      </w:r>
      <w:r w:rsidR="003B0CDB" w:rsidRPr="00DD32C2">
        <w:rPr>
          <w:rFonts w:eastAsia="Calibri" w:cs="Times New Roman"/>
          <w:lang w:val="uz-Cyrl-UZ"/>
        </w:rPr>
        <w:t xml:space="preserve"> imali</w:t>
      </w:r>
      <w:r w:rsidR="0094579F" w:rsidRPr="00DD32C2">
        <w:rPr>
          <w:rFonts w:eastAsia="Calibri" w:cs="Times New Roman"/>
          <w:lang w:val="uz-Cyrl-UZ"/>
        </w:rPr>
        <w:t xml:space="preserve"> pravo da v</w:t>
      </w:r>
      <w:r w:rsidR="003B0CDB" w:rsidRPr="00DD32C2">
        <w:rPr>
          <w:rFonts w:eastAsia="Calibri" w:cs="Times New Roman"/>
          <w:lang w:val="uz-Cyrl-UZ"/>
        </w:rPr>
        <w:t>j</w:t>
      </w:r>
      <w:r w:rsidR="0094579F" w:rsidRPr="00DD32C2">
        <w:rPr>
          <w:rFonts w:eastAsia="Calibri" w:cs="Times New Roman"/>
          <w:lang w:val="uz-Cyrl-UZ"/>
        </w:rPr>
        <w:t>eruju izvor</w:t>
      </w:r>
      <w:r w:rsidR="003B0CDB" w:rsidRPr="00DD32C2">
        <w:rPr>
          <w:rFonts w:eastAsia="Calibri" w:cs="Times New Roman"/>
          <w:lang w:val="uz-Cyrl-UZ"/>
        </w:rPr>
        <w:t>u informacija, Ministarstvu unutrašnjih poslova, koje je i samo</w:t>
      </w:r>
      <w:r w:rsidR="0094579F" w:rsidRPr="00DD32C2">
        <w:rPr>
          <w:rFonts w:eastAsia="Calibri" w:cs="Times New Roman"/>
          <w:lang w:val="uz-Cyrl-UZ"/>
        </w:rPr>
        <w:t xml:space="preserve"> trebalo da prov</w:t>
      </w:r>
      <w:r w:rsidR="003B0CDB" w:rsidRPr="00DD32C2">
        <w:rPr>
          <w:rFonts w:eastAsia="Calibri" w:cs="Times New Roman"/>
          <w:lang w:val="uz-Cyrl-UZ"/>
        </w:rPr>
        <w:t>jeri tačnost svog saopštenja</w:t>
      </w:r>
      <w:r w:rsidR="00683D1D">
        <w:rPr>
          <w:rFonts w:eastAsia="Calibri" w:cs="Times New Roman"/>
          <w:lang w:val="uz-Cyrl-UZ"/>
        </w:rPr>
        <w:t xml:space="preserve"> za javnost</w:t>
      </w:r>
      <w:r w:rsidR="0094579F" w:rsidRPr="00DD32C2">
        <w:rPr>
          <w:rFonts w:eastAsia="Calibri" w:cs="Times New Roman"/>
          <w:lang w:val="uz-Cyrl-UZ"/>
        </w:rPr>
        <w:t xml:space="preserve">. </w:t>
      </w:r>
      <w:r w:rsidR="003B0CDB" w:rsidRPr="00DD32C2">
        <w:rPr>
          <w:rFonts w:eastAsia="Calibri" w:cs="Times New Roman"/>
          <w:lang w:val="uz-Cyrl-UZ"/>
        </w:rPr>
        <w:t>Prilog je emitovan u posl</w:t>
      </w:r>
      <w:r w:rsidR="00683D1D">
        <w:rPr>
          <w:rFonts w:eastAsia="Calibri" w:cs="Times New Roman"/>
          <w:lang w:val="uz-Cyrl-UZ"/>
        </w:rPr>
        <w:t>j</w:t>
      </w:r>
      <w:r w:rsidR="003B0CDB" w:rsidRPr="00DD32C2">
        <w:rPr>
          <w:rFonts w:eastAsia="Calibri" w:cs="Times New Roman"/>
          <w:lang w:val="uz-Cyrl-UZ"/>
        </w:rPr>
        <w:t xml:space="preserve">ednjim </w:t>
      </w:r>
      <w:r w:rsidR="0094579F" w:rsidRPr="00DD32C2">
        <w:rPr>
          <w:rFonts w:eastAsia="Calibri" w:cs="Times New Roman"/>
          <w:lang w:val="uz-Cyrl-UZ"/>
        </w:rPr>
        <w:t>večernjim v</w:t>
      </w:r>
      <w:r w:rsidR="003B0CDB" w:rsidRPr="00DD32C2">
        <w:rPr>
          <w:rFonts w:eastAsia="Calibri" w:cs="Times New Roman"/>
          <w:lang w:val="uz-Cyrl-UZ"/>
        </w:rPr>
        <w:t>ijestima</w:t>
      </w:r>
      <w:r w:rsidR="0094579F" w:rsidRPr="00DD32C2">
        <w:rPr>
          <w:rFonts w:eastAsia="Calibri" w:cs="Times New Roman"/>
          <w:lang w:val="uz-Cyrl-UZ"/>
        </w:rPr>
        <w:t xml:space="preserve">, </w:t>
      </w:r>
      <w:r w:rsidR="003B0CDB" w:rsidRPr="00DD32C2">
        <w:rPr>
          <w:rFonts w:eastAsia="Calibri" w:cs="Times New Roman"/>
          <w:lang w:val="uz-Cyrl-UZ"/>
        </w:rPr>
        <w:t xml:space="preserve">a </w:t>
      </w:r>
      <w:r w:rsidR="0094579F" w:rsidRPr="00DD32C2">
        <w:rPr>
          <w:rFonts w:eastAsia="Calibri" w:cs="Times New Roman"/>
          <w:lang w:val="uz-Cyrl-UZ"/>
        </w:rPr>
        <w:t xml:space="preserve">novinari nisu </w:t>
      </w:r>
      <w:r w:rsidR="003B0CDB" w:rsidRPr="00DD32C2">
        <w:rPr>
          <w:rFonts w:eastAsia="Calibri" w:cs="Times New Roman"/>
          <w:lang w:val="uz-Cyrl-UZ"/>
        </w:rPr>
        <w:t xml:space="preserve">morali </w:t>
      </w:r>
      <w:r w:rsidR="0094579F" w:rsidRPr="00DD32C2">
        <w:rPr>
          <w:rFonts w:eastAsia="Calibri" w:cs="Times New Roman"/>
          <w:lang w:val="uz-Cyrl-UZ"/>
        </w:rPr>
        <w:t>da sprovedu punu istragu i da prov</w:t>
      </w:r>
      <w:r w:rsidR="003B0CDB" w:rsidRPr="00DD32C2">
        <w:rPr>
          <w:rFonts w:eastAsia="Calibri" w:cs="Times New Roman"/>
          <w:lang w:val="uz-Cyrl-UZ"/>
        </w:rPr>
        <w:t>jere</w:t>
      </w:r>
      <w:r w:rsidR="0094579F" w:rsidRPr="00DD32C2">
        <w:rPr>
          <w:rFonts w:eastAsia="Calibri" w:cs="Times New Roman"/>
          <w:lang w:val="uz-Cyrl-UZ"/>
        </w:rPr>
        <w:t xml:space="preserve"> sadržaj informacija - posebno </w:t>
      </w:r>
      <w:r w:rsidR="003B0CDB" w:rsidRPr="00DD32C2">
        <w:rPr>
          <w:rFonts w:eastAsia="Calibri" w:cs="Times New Roman"/>
          <w:lang w:val="uz-Cyrl-UZ"/>
        </w:rPr>
        <w:t>jer su te informacije p</w:t>
      </w:r>
      <w:r w:rsidR="00683D1D">
        <w:rPr>
          <w:rFonts w:eastAsia="Calibri" w:cs="Times New Roman"/>
          <w:lang w:val="uz-Cyrl-UZ"/>
        </w:rPr>
        <w:t>reuzeli od pouzdanog izvora (ministarstva</w:t>
      </w:r>
      <w:r w:rsidR="003B0CDB" w:rsidRPr="00DD32C2">
        <w:rPr>
          <w:rFonts w:eastAsia="Calibri" w:cs="Times New Roman"/>
          <w:lang w:val="uz-Cyrl-UZ"/>
        </w:rPr>
        <w:t>)</w:t>
      </w:r>
      <w:r w:rsidR="0094579F" w:rsidRPr="00DD32C2">
        <w:rPr>
          <w:rFonts w:eastAsia="Calibri" w:cs="Times New Roman"/>
          <w:lang w:val="uz-Cyrl-UZ"/>
        </w:rPr>
        <w:t>.</w:t>
      </w:r>
    </w:p>
    <w:p w:rsidR="00E80CE8" w:rsidRPr="00E80CE8" w:rsidRDefault="00E80CE8" w:rsidP="00E80CE8">
      <w:pPr>
        <w:pStyle w:val="ListParagraph"/>
        <w:numPr>
          <w:ilvl w:val="0"/>
          <w:numId w:val="7"/>
        </w:numPr>
        <w:jc w:val="both"/>
        <w:rPr>
          <w:lang w:val="uz-Cyrl-UZ"/>
        </w:rPr>
      </w:pPr>
      <w:r w:rsidRPr="00E80CE8">
        <w:rPr>
          <w:b/>
          <w:i/>
          <w:lang w:val="uz-Cyrl-UZ"/>
        </w:rPr>
        <w:t xml:space="preserve">‘Saint Projet’, ‘Institut du Bon Pasteur’ i drugi protiv </w:t>
      </w:r>
      <w:r w:rsidR="00683D1D">
        <w:rPr>
          <w:b/>
          <w:i/>
          <w:lang w:val="uz-Cyrl-UZ"/>
        </w:rPr>
        <w:t>De Carolis, Pujadas</w:t>
      </w:r>
      <w:r w:rsidRPr="00E80CE8">
        <w:rPr>
          <w:b/>
          <w:i/>
          <w:lang w:val="uz-Cyrl-UZ"/>
        </w:rPr>
        <w:t xml:space="preserve"> i drugih</w:t>
      </w:r>
      <w:r w:rsidRPr="00E80CE8">
        <w:rPr>
          <w:lang w:val="uz-Cyrl-UZ"/>
        </w:rPr>
        <w:t xml:space="preserve">, Regionalni sud Pariza (Vijeće za štampu), 16. oktobar 2014: </w:t>
      </w:r>
      <w:r w:rsidRPr="00E80CE8">
        <w:rPr>
          <w:highlight w:val="yellow"/>
          <w:lang w:val="uz-Cyrl-UZ"/>
        </w:rPr>
        <w:t>upotreba skrivene kamere nije značila da novinari ne izvještavaju „dobronamjerno“;</w:t>
      </w:r>
    </w:p>
    <w:p w:rsidR="0011616B" w:rsidRPr="00DD32C2" w:rsidRDefault="0011616B" w:rsidP="0011616B">
      <w:pPr>
        <w:jc w:val="both"/>
        <w:rPr>
          <w:lang w:val="uz-Cyrl-UZ"/>
        </w:rPr>
      </w:pPr>
      <w:r w:rsidRPr="00DD32C2">
        <w:rPr>
          <w:lang w:val="uz-Cyrl-UZ"/>
        </w:rPr>
        <w:t xml:space="preserve">Ovdje je riječ o slučaju klevete koji su pokrenula lokalna školska i parohijska udruženja protiv novinara </w:t>
      </w:r>
      <w:r w:rsidR="00683D1D">
        <w:rPr>
          <w:lang w:val="uz-Cyrl-UZ"/>
        </w:rPr>
        <w:t xml:space="preserve">televizije </w:t>
      </w:r>
      <w:r w:rsidRPr="00DD32C2">
        <w:rPr>
          <w:lang w:val="uz-Cyrl-UZ"/>
        </w:rPr>
        <w:t xml:space="preserve">koji su emitovali prilog o desničarskim vjerskim grupama. Novinari su se infiltrirali </w:t>
      </w:r>
      <w:r w:rsidR="00E74FCC" w:rsidRPr="00DD32C2">
        <w:rPr>
          <w:lang w:val="uz-Cyrl-UZ"/>
        </w:rPr>
        <w:t>u malu desničarsku vjersku grupu, koja je prikazana</w:t>
      </w:r>
      <w:r w:rsidRPr="00DD32C2">
        <w:rPr>
          <w:lang w:val="uz-Cyrl-UZ"/>
        </w:rPr>
        <w:t xml:space="preserve"> </w:t>
      </w:r>
      <w:r w:rsidR="00E74FCC" w:rsidRPr="00DD32C2">
        <w:rPr>
          <w:lang w:val="uz-Cyrl-UZ"/>
        </w:rPr>
        <w:t>kao izuzetno nasilna i rasistička, i koristili su</w:t>
      </w:r>
      <w:r w:rsidRPr="00DD32C2">
        <w:rPr>
          <w:lang w:val="uz-Cyrl-UZ"/>
        </w:rPr>
        <w:t xml:space="preserve"> skri</w:t>
      </w:r>
      <w:r w:rsidR="00E74FCC" w:rsidRPr="00DD32C2">
        <w:rPr>
          <w:lang w:val="uz-Cyrl-UZ"/>
        </w:rPr>
        <w:t>venu kameru za jedan dio priloga</w:t>
      </w:r>
      <w:r w:rsidRPr="00DD32C2">
        <w:rPr>
          <w:lang w:val="uz-Cyrl-UZ"/>
        </w:rPr>
        <w:t xml:space="preserve">. U </w:t>
      </w:r>
      <w:r w:rsidR="00E74FCC" w:rsidRPr="00DD32C2">
        <w:rPr>
          <w:lang w:val="uz-Cyrl-UZ"/>
        </w:rPr>
        <w:t>prilogu se navodi da su rimokatolička</w:t>
      </w:r>
      <w:r w:rsidRPr="00DD32C2">
        <w:rPr>
          <w:lang w:val="uz-Cyrl-UZ"/>
        </w:rPr>
        <w:t xml:space="preserve"> udruženj</w:t>
      </w:r>
      <w:r w:rsidR="00E74FCC" w:rsidRPr="00DD32C2">
        <w:rPr>
          <w:lang w:val="uz-Cyrl-UZ"/>
        </w:rPr>
        <w:t>a povezana sa ovom malom grupom i sa školom</w:t>
      </w:r>
      <w:r w:rsidR="00683D1D">
        <w:rPr>
          <w:lang w:val="uz-Cyrl-UZ"/>
        </w:rPr>
        <w:t>, koj</w:t>
      </w:r>
      <w:r w:rsidR="00E74FCC" w:rsidRPr="00DD32C2">
        <w:rPr>
          <w:lang w:val="uz-Cyrl-UZ"/>
        </w:rPr>
        <w:t>a</w:t>
      </w:r>
      <w:r w:rsidRPr="00DD32C2">
        <w:rPr>
          <w:lang w:val="uz-Cyrl-UZ"/>
        </w:rPr>
        <w:t xml:space="preserve"> je opisan</w:t>
      </w:r>
      <w:r w:rsidR="00E74FCC" w:rsidRPr="00DD32C2">
        <w:rPr>
          <w:lang w:val="uz-Cyrl-UZ"/>
        </w:rPr>
        <w:t>a kao „</w:t>
      </w:r>
      <w:r w:rsidRPr="00DD32C2">
        <w:rPr>
          <w:lang w:val="uz-Cyrl-UZ"/>
        </w:rPr>
        <w:t>gn</w:t>
      </w:r>
      <w:r w:rsidR="00E74FCC" w:rsidRPr="00DD32C2">
        <w:rPr>
          <w:lang w:val="uz-Cyrl-UZ"/>
        </w:rPr>
        <w:t>ijezdo</w:t>
      </w:r>
      <w:r w:rsidRPr="00DD32C2">
        <w:rPr>
          <w:lang w:val="uz-Cyrl-UZ"/>
        </w:rPr>
        <w:t xml:space="preserve"> fašista</w:t>
      </w:r>
      <w:r w:rsidR="00E74FCC" w:rsidRPr="00DD32C2">
        <w:rPr>
          <w:lang w:val="uz-Cyrl-UZ"/>
        </w:rPr>
        <w:t>“</w:t>
      </w:r>
      <w:r w:rsidRPr="00DD32C2">
        <w:rPr>
          <w:lang w:val="uz-Cyrl-UZ"/>
        </w:rPr>
        <w:t xml:space="preserve">. Takođe </w:t>
      </w:r>
      <w:r w:rsidR="00E74FCC" w:rsidRPr="00DD32C2">
        <w:rPr>
          <w:lang w:val="uz-Cyrl-UZ"/>
        </w:rPr>
        <w:t xml:space="preserve">se navodi </w:t>
      </w:r>
      <w:r w:rsidRPr="00DD32C2">
        <w:rPr>
          <w:lang w:val="uz-Cyrl-UZ"/>
        </w:rPr>
        <w:t xml:space="preserve">da </w:t>
      </w:r>
      <w:r w:rsidR="00E74FCC" w:rsidRPr="00DD32C2">
        <w:rPr>
          <w:lang w:val="uz-Cyrl-UZ"/>
        </w:rPr>
        <w:t>je nastava</w:t>
      </w:r>
      <w:r w:rsidRPr="00DD32C2">
        <w:rPr>
          <w:lang w:val="uz-Cyrl-UZ"/>
        </w:rPr>
        <w:t xml:space="preserve"> u</w:t>
      </w:r>
      <w:r w:rsidR="00E74FCC" w:rsidRPr="00DD32C2">
        <w:rPr>
          <w:lang w:val="uz-Cyrl-UZ"/>
        </w:rPr>
        <w:t xml:space="preserve"> ovoj školi „otvoreno antisemitskog karaktera“</w:t>
      </w:r>
      <w:r w:rsidRPr="00DD32C2">
        <w:rPr>
          <w:lang w:val="uz-Cyrl-UZ"/>
        </w:rPr>
        <w:t>.</w:t>
      </w:r>
    </w:p>
    <w:p w:rsidR="00E74FCC" w:rsidRPr="00DD32C2" w:rsidRDefault="00E74FCC" w:rsidP="0011616B">
      <w:pPr>
        <w:jc w:val="both"/>
        <w:rPr>
          <w:lang w:val="uz-Cyrl-UZ"/>
        </w:rPr>
      </w:pPr>
      <w:r w:rsidRPr="00DD32C2">
        <w:rPr>
          <w:lang w:val="uz-Cyrl-UZ"/>
        </w:rPr>
        <w:t>Sud je utvrdio da je</w:t>
      </w:r>
      <w:r w:rsidR="00B15E8C" w:rsidRPr="00DD32C2">
        <w:rPr>
          <w:lang w:val="uz-Cyrl-UZ"/>
        </w:rPr>
        <w:t xml:space="preserve"> </w:t>
      </w:r>
      <w:r w:rsidRPr="00DD32C2">
        <w:rPr>
          <w:lang w:val="uz-Cyrl-UZ"/>
        </w:rPr>
        <w:t xml:space="preserve">prilog bio klevetnički u odnosu na parohiju, školu, i njenog </w:t>
      </w:r>
      <w:r w:rsidR="00983463">
        <w:rPr>
          <w:lang w:val="sr-Latn-ME"/>
        </w:rPr>
        <w:t xml:space="preserve">upravnika, </w:t>
      </w:r>
      <w:r w:rsidRPr="00DD32C2">
        <w:rPr>
          <w:lang w:val="uz-Cyrl-UZ"/>
        </w:rPr>
        <w:t>koji je prikazan u emisiji bez zamagljenja slike i koji je pogrešno predstavljen kao osnivač škole, dok je on u stvari predsjednik udruženja koje upravlja školom. Međutim, novinari su postupali</w:t>
      </w:r>
      <w:r w:rsidR="00683D1D">
        <w:rPr>
          <w:lang w:val="uz-Cyrl-UZ"/>
        </w:rPr>
        <w:t xml:space="preserve"> dobronamjerno</w:t>
      </w:r>
      <w:r w:rsidRPr="00DD32C2">
        <w:rPr>
          <w:lang w:val="uz-Cyrl-UZ"/>
        </w:rPr>
        <w:t>. Njihov cilj je bio da informišu javnost o postojanju nasilnih i rasističkih političkih grupa, i o vezama koje mogu postojati između takvih grupa i vjerskih udruženja. Ovo je svakako pitanje od javnog interesa o kom su novinari imali pravo da izvještavaju</w:t>
      </w:r>
      <w:r w:rsidR="00B15E8C" w:rsidRPr="00DD32C2">
        <w:rPr>
          <w:lang w:val="uz-Cyrl-UZ"/>
        </w:rPr>
        <w:t>. Novinari su saslušali</w:t>
      </w:r>
      <w:r w:rsidRPr="00DD32C2">
        <w:rPr>
          <w:lang w:val="uz-Cyrl-UZ"/>
        </w:rPr>
        <w:t xml:space="preserve"> obje strane i </w:t>
      </w:r>
      <w:r w:rsidR="00B15E8C" w:rsidRPr="00DD32C2">
        <w:rPr>
          <w:lang w:val="uz-Cyrl-UZ"/>
        </w:rPr>
        <w:t xml:space="preserve">uključili su intervju </w:t>
      </w:r>
      <w:r w:rsidRPr="00DD32C2">
        <w:rPr>
          <w:lang w:val="uz-Cyrl-UZ"/>
        </w:rPr>
        <w:t xml:space="preserve">sa </w:t>
      </w:r>
      <w:r w:rsidR="00B15E8C" w:rsidRPr="00DD32C2">
        <w:rPr>
          <w:lang w:val="uz-Cyrl-UZ"/>
        </w:rPr>
        <w:t xml:space="preserve">upravnikom škole </w:t>
      </w:r>
      <w:r w:rsidRPr="00DD32C2">
        <w:rPr>
          <w:lang w:val="uz-Cyrl-UZ"/>
        </w:rPr>
        <w:t xml:space="preserve">kao </w:t>
      </w:r>
      <w:r w:rsidR="00B15E8C" w:rsidRPr="00DD32C2">
        <w:rPr>
          <w:lang w:val="uz-Cyrl-UZ"/>
        </w:rPr>
        <w:t xml:space="preserve">i </w:t>
      </w:r>
      <w:r w:rsidRPr="00DD32C2">
        <w:rPr>
          <w:lang w:val="uz-Cyrl-UZ"/>
        </w:rPr>
        <w:t>sa sv</w:t>
      </w:r>
      <w:r w:rsidR="00B15E8C" w:rsidRPr="00DD32C2">
        <w:rPr>
          <w:lang w:val="uz-Cyrl-UZ"/>
        </w:rPr>
        <w:t>j</w:t>
      </w:r>
      <w:r w:rsidRPr="00DD32C2">
        <w:rPr>
          <w:lang w:val="uz-Cyrl-UZ"/>
        </w:rPr>
        <w:t xml:space="preserve">eštenikom koji je bio učitelj, a </w:t>
      </w:r>
      <w:r w:rsidR="00B15E8C" w:rsidRPr="00DD32C2">
        <w:rPr>
          <w:lang w:val="uz-Cyrl-UZ"/>
        </w:rPr>
        <w:t xml:space="preserve">još jedan </w:t>
      </w:r>
      <w:r w:rsidRPr="00DD32C2">
        <w:rPr>
          <w:lang w:val="uz-Cyrl-UZ"/>
        </w:rPr>
        <w:t>sv</w:t>
      </w:r>
      <w:r w:rsidR="00B15E8C" w:rsidRPr="00DD32C2">
        <w:rPr>
          <w:lang w:val="uz-Cyrl-UZ"/>
        </w:rPr>
        <w:t>j</w:t>
      </w:r>
      <w:r w:rsidRPr="00DD32C2">
        <w:rPr>
          <w:lang w:val="uz-Cyrl-UZ"/>
        </w:rPr>
        <w:t xml:space="preserve">eštenik </w:t>
      </w:r>
      <w:r w:rsidR="00683D1D">
        <w:rPr>
          <w:lang w:val="uz-Cyrl-UZ"/>
        </w:rPr>
        <w:t xml:space="preserve">je </w:t>
      </w:r>
      <w:r w:rsidRPr="00DD32C2">
        <w:rPr>
          <w:lang w:val="uz-Cyrl-UZ"/>
        </w:rPr>
        <w:t xml:space="preserve">bio prisutan među učesnicima u </w:t>
      </w:r>
      <w:r w:rsidR="00B15E8C" w:rsidRPr="00DD32C2">
        <w:rPr>
          <w:lang w:val="uz-Cyrl-UZ"/>
        </w:rPr>
        <w:t xml:space="preserve">debati u studiju </w:t>
      </w:r>
      <w:r w:rsidRPr="00DD32C2">
        <w:rPr>
          <w:lang w:val="uz-Cyrl-UZ"/>
        </w:rPr>
        <w:t>koja je usl</w:t>
      </w:r>
      <w:r w:rsidR="00B15E8C" w:rsidRPr="00DD32C2">
        <w:rPr>
          <w:lang w:val="uz-Cyrl-UZ"/>
        </w:rPr>
        <w:t>ij</w:t>
      </w:r>
      <w:r w:rsidRPr="00DD32C2">
        <w:rPr>
          <w:lang w:val="uz-Cyrl-UZ"/>
        </w:rPr>
        <w:t xml:space="preserve">edila </w:t>
      </w:r>
      <w:r w:rsidR="00B15E8C" w:rsidRPr="00DD32C2">
        <w:rPr>
          <w:lang w:val="uz-Cyrl-UZ"/>
        </w:rPr>
        <w:t>nakon emitovanja priloga. Upotreba skrivene kamere nije</w:t>
      </w:r>
      <w:r w:rsidRPr="00DD32C2">
        <w:rPr>
          <w:lang w:val="uz-Cyrl-UZ"/>
        </w:rPr>
        <w:t xml:space="preserve"> znači</w:t>
      </w:r>
      <w:r w:rsidR="00B15E8C" w:rsidRPr="00DD32C2">
        <w:rPr>
          <w:lang w:val="uz-Cyrl-UZ"/>
        </w:rPr>
        <w:t>la</w:t>
      </w:r>
      <w:r w:rsidRPr="00DD32C2">
        <w:rPr>
          <w:lang w:val="uz-Cyrl-UZ"/>
        </w:rPr>
        <w:t xml:space="preserve"> da</w:t>
      </w:r>
      <w:r w:rsidR="00683D1D">
        <w:rPr>
          <w:lang w:val="uz-Cyrl-UZ"/>
        </w:rPr>
        <w:t xml:space="preserve"> </w:t>
      </w:r>
      <w:r w:rsidR="00B15E8C" w:rsidRPr="00DD32C2">
        <w:rPr>
          <w:lang w:val="uz-Cyrl-UZ"/>
        </w:rPr>
        <w:t>su novinari postupali zlonamjerno</w:t>
      </w:r>
      <w:r w:rsidRPr="00DD32C2">
        <w:rPr>
          <w:lang w:val="uz-Cyrl-UZ"/>
        </w:rPr>
        <w:t>: skriven</w:t>
      </w:r>
      <w:r w:rsidR="00683D1D">
        <w:rPr>
          <w:lang w:val="uz-Cyrl-UZ"/>
        </w:rPr>
        <w:t>e kamere</w:t>
      </w:r>
      <w:r w:rsidRPr="00DD32C2">
        <w:rPr>
          <w:lang w:val="uz-Cyrl-UZ"/>
        </w:rPr>
        <w:t xml:space="preserve"> </w:t>
      </w:r>
      <w:r w:rsidR="00B15E8C" w:rsidRPr="00DD32C2">
        <w:rPr>
          <w:lang w:val="uz-Cyrl-UZ"/>
        </w:rPr>
        <w:t>su dozvoljene</w:t>
      </w:r>
      <w:r w:rsidRPr="00DD32C2">
        <w:rPr>
          <w:lang w:val="uz-Cyrl-UZ"/>
        </w:rPr>
        <w:t xml:space="preserve"> </w:t>
      </w:r>
      <w:r w:rsidR="00B15E8C" w:rsidRPr="00DD32C2">
        <w:rPr>
          <w:lang w:val="uz-Cyrl-UZ"/>
        </w:rPr>
        <w:t>ako</w:t>
      </w:r>
      <w:r w:rsidR="00683D1D">
        <w:rPr>
          <w:lang w:val="uz-Cyrl-UZ"/>
        </w:rPr>
        <w:t xml:space="preserve"> </w:t>
      </w:r>
      <w:r w:rsidR="00B15E8C" w:rsidRPr="00DD32C2">
        <w:rPr>
          <w:lang w:val="uz-Cyrl-UZ"/>
        </w:rPr>
        <w:t>su neophodne</w:t>
      </w:r>
      <w:r w:rsidRPr="00DD32C2">
        <w:rPr>
          <w:lang w:val="uz-Cyrl-UZ"/>
        </w:rPr>
        <w:t xml:space="preserve"> </w:t>
      </w:r>
      <w:r w:rsidR="00B15E8C" w:rsidRPr="00DD32C2">
        <w:rPr>
          <w:lang w:val="uz-Cyrl-UZ"/>
        </w:rPr>
        <w:t>za otkrivanje legitimnih informacija o pitanju od</w:t>
      </w:r>
      <w:r w:rsidRPr="00DD32C2">
        <w:rPr>
          <w:lang w:val="uz-Cyrl-UZ"/>
        </w:rPr>
        <w:t xml:space="preserve"> opšteg</w:t>
      </w:r>
      <w:r w:rsidR="00B15E8C" w:rsidRPr="00DD32C2">
        <w:rPr>
          <w:lang w:val="uz-Cyrl-UZ"/>
        </w:rPr>
        <w:t xml:space="preserve"> javnog</w:t>
      </w:r>
      <w:r w:rsidRPr="00DD32C2">
        <w:rPr>
          <w:lang w:val="uz-Cyrl-UZ"/>
        </w:rPr>
        <w:t xml:space="preserve"> interesa</w:t>
      </w:r>
      <w:r w:rsidR="00B15E8C" w:rsidRPr="00DD32C2">
        <w:rPr>
          <w:lang w:val="uz-Cyrl-UZ"/>
        </w:rPr>
        <w:t xml:space="preserve"> koje drugačije ne bi mogle biti otkrivene</w:t>
      </w:r>
      <w:r w:rsidRPr="00DD32C2">
        <w:rPr>
          <w:lang w:val="uz-Cyrl-UZ"/>
        </w:rPr>
        <w:t>.</w:t>
      </w:r>
    </w:p>
    <w:p w:rsidR="00B15E8C" w:rsidRPr="00E80CE8" w:rsidRDefault="00E80CE8" w:rsidP="00E80CE8">
      <w:pPr>
        <w:pStyle w:val="ListParagraph"/>
        <w:numPr>
          <w:ilvl w:val="0"/>
          <w:numId w:val="7"/>
        </w:numPr>
        <w:jc w:val="both"/>
        <w:rPr>
          <w:lang w:val="uz-Cyrl-UZ"/>
        </w:rPr>
      </w:pPr>
      <w:r w:rsidRPr="00E80CE8">
        <w:rPr>
          <w:b/>
          <w:i/>
          <w:lang w:val="uz-Cyrl-UZ"/>
        </w:rPr>
        <w:lastRenderedPageBreak/>
        <w:t>Savezni Vrhovni sud Njemačke</w:t>
      </w:r>
      <w:r w:rsidRPr="00E80CE8">
        <w:rPr>
          <w:lang w:val="uz-Cyrl-UZ"/>
        </w:rPr>
        <w:t xml:space="preserve">, predmet br. VI ZR 490/12, 30. septembar 2014: </w:t>
      </w:r>
      <w:r w:rsidRPr="00E80CE8">
        <w:rPr>
          <w:highlight w:val="yellow"/>
          <w:lang w:val="uz-Cyrl-UZ"/>
        </w:rPr>
        <w:t>upotreba nezakonito pribavljenih imejlova je dozvoljena u svrhe izvještavanja</w:t>
      </w:r>
      <w:r w:rsidR="00B15E8C" w:rsidRPr="00E80CE8">
        <w:rPr>
          <w:highlight w:val="yellow"/>
          <w:lang w:val="uz-Cyrl-UZ"/>
        </w:rPr>
        <w:t>;</w:t>
      </w:r>
    </w:p>
    <w:p w:rsidR="00B15E8C" w:rsidRPr="00DD32C2" w:rsidRDefault="00B15E8C" w:rsidP="0011616B">
      <w:pPr>
        <w:jc w:val="both"/>
        <w:rPr>
          <w:lang w:val="uz-Cyrl-UZ"/>
        </w:rPr>
      </w:pPr>
      <w:r w:rsidRPr="00DD32C2">
        <w:rPr>
          <w:lang w:val="uz-Cyrl-UZ"/>
        </w:rPr>
        <w:t>U ovom slučaju je</w:t>
      </w:r>
      <w:r w:rsidR="00374650">
        <w:rPr>
          <w:lang w:val="uz-Cyrl-UZ"/>
        </w:rPr>
        <w:t xml:space="preserve"> bilo</w:t>
      </w:r>
      <w:r w:rsidRPr="00DD32C2">
        <w:rPr>
          <w:lang w:val="uz-Cyrl-UZ"/>
        </w:rPr>
        <w:t xml:space="preserve"> riječ</w:t>
      </w:r>
      <w:r w:rsidR="00374650">
        <w:rPr>
          <w:lang w:val="uz-Cyrl-UZ"/>
        </w:rPr>
        <w:t>i</w:t>
      </w:r>
      <w:r w:rsidRPr="00DD32C2">
        <w:rPr>
          <w:lang w:val="uz-Cyrl-UZ"/>
        </w:rPr>
        <w:t xml:space="preserve"> o političaru</w:t>
      </w:r>
      <w:r w:rsidR="00374650" w:rsidRPr="00374650">
        <w:rPr>
          <w:i/>
          <w:lang w:val="uz-Cyrl-UZ"/>
        </w:rPr>
        <w:t xml:space="preserve"> </w:t>
      </w:r>
      <w:r w:rsidR="00374650" w:rsidRPr="00983463">
        <w:rPr>
          <w:lang w:val="uz-Cyrl-UZ"/>
        </w:rPr>
        <w:t>(</w:t>
      </w:r>
      <w:r w:rsidR="00374650" w:rsidRPr="00E433E3">
        <w:rPr>
          <w:i/>
          <w:lang w:val="uz-Cyrl-UZ"/>
        </w:rPr>
        <w:t>Rainer Speer</w:t>
      </w:r>
      <w:r w:rsidR="00374650">
        <w:rPr>
          <w:lang w:val="uz-Cyrl-UZ"/>
        </w:rPr>
        <w:t>),</w:t>
      </w:r>
      <w:r w:rsidRPr="00DD32C2">
        <w:rPr>
          <w:lang w:val="uz-Cyrl-UZ"/>
        </w:rPr>
        <w:t xml:space="preserve"> koji je bio na raznim visokim </w:t>
      </w:r>
      <w:r w:rsidR="00DC2899" w:rsidRPr="00DD32C2">
        <w:rPr>
          <w:lang w:val="uz-Cyrl-UZ"/>
        </w:rPr>
        <w:t xml:space="preserve">funkcijama </w:t>
      </w:r>
      <w:r w:rsidRPr="00DD32C2">
        <w:rPr>
          <w:lang w:val="uz-Cyrl-UZ"/>
        </w:rPr>
        <w:t xml:space="preserve">u državi Brandenburg između 1994. i 2010. godine, uključujući </w:t>
      </w:r>
      <w:r w:rsidR="00683D1D">
        <w:rPr>
          <w:lang w:val="uz-Cyrl-UZ"/>
        </w:rPr>
        <w:t xml:space="preserve">funkciju </w:t>
      </w:r>
      <w:r w:rsidR="00DC2899" w:rsidRPr="00DD32C2">
        <w:rPr>
          <w:lang w:val="uz-Cyrl-UZ"/>
        </w:rPr>
        <w:t>ministra finansija, minist</w:t>
      </w:r>
      <w:r w:rsidRPr="00DD32C2">
        <w:rPr>
          <w:lang w:val="uz-Cyrl-UZ"/>
        </w:rPr>
        <w:t>r</w:t>
      </w:r>
      <w:r w:rsidR="00DC2899" w:rsidRPr="00DD32C2">
        <w:rPr>
          <w:lang w:val="uz-Cyrl-UZ"/>
        </w:rPr>
        <w:t>a</w:t>
      </w:r>
      <w:r w:rsidRPr="00DD32C2">
        <w:rPr>
          <w:lang w:val="uz-Cyrl-UZ"/>
        </w:rPr>
        <w:t xml:space="preserve"> unutrašnjih poslova i</w:t>
      </w:r>
      <w:r w:rsidR="00DD32C2">
        <w:rPr>
          <w:lang w:val="uz-Cyrl-UZ"/>
        </w:rPr>
        <w:t xml:space="preserve"> </w:t>
      </w:r>
      <w:r w:rsidR="00DD32C2" w:rsidRPr="00E80CE8">
        <w:rPr>
          <w:lang w:val="uz-Cyrl-UZ"/>
        </w:rPr>
        <w:t>državnog kancelara</w:t>
      </w:r>
      <w:r w:rsidRPr="00DD32C2">
        <w:rPr>
          <w:lang w:val="uz-Cyrl-UZ"/>
        </w:rPr>
        <w:t xml:space="preserve">. </w:t>
      </w:r>
      <w:r w:rsidR="009E19A5" w:rsidRPr="00DD32C2">
        <w:rPr>
          <w:lang w:val="uz-Cyrl-UZ"/>
        </w:rPr>
        <w:t>Nj</w:t>
      </w:r>
      <w:r w:rsidRPr="00DD32C2">
        <w:rPr>
          <w:lang w:val="uz-Cyrl-UZ"/>
        </w:rPr>
        <w:t>emački list</w:t>
      </w:r>
      <w:r w:rsidR="009E19A5" w:rsidRPr="00DD32C2">
        <w:rPr>
          <w:lang w:val="uz-Cyrl-UZ"/>
        </w:rPr>
        <w:t xml:space="preserve"> </w:t>
      </w:r>
      <w:r w:rsidR="009E19A5" w:rsidRPr="00DD32C2">
        <w:rPr>
          <w:i/>
          <w:lang w:val="uz-Cyrl-UZ"/>
        </w:rPr>
        <w:t xml:space="preserve">Bild </w:t>
      </w:r>
      <w:r w:rsidR="009E19A5" w:rsidRPr="00DD32C2">
        <w:rPr>
          <w:lang w:val="uz-Cyrl-UZ"/>
        </w:rPr>
        <w:t xml:space="preserve">je 2009. izvijestio </w:t>
      </w:r>
      <w:r w:rsidR="00683D1D">
        <w:rPr>
          <w:lang w:val="uz-Cyrl-UZ"/>
        </w:rPr>
        <w:t xml:space="preserve">da </w:t>
      </w:r>
      <w:r w:rsidRPr="00DD32C2">
        <w:rPr>
          <w:lang w:val="uz-Cyrl-UZ"/>
        </w:rPr>
        <w:t>Spe</w:t>
      </w:r>
      <w:r w:rsidR="009E19A5" w:rsidRPr="00DD32C2">
        <w:rPr>
          <w:lang w:val="uz-Cyrl-UZ"/>
        </w:rPr>
        <w:t>er ima ćerku iz vanbračne veze sa koleginicom</w:t>
      </w:r>
      <w:r w:rsidRPr="00DD32C2">
        <w:rPr>
          <w:lang w:val="uz-Cyrl-UZ"/>
        </w:rPr>
        <w:t xml:space="preserve"> i da</w:t>
      </w:r>
      <w:r w:rsidR="009E19A5" w:rsidRPr="00DD32C2">
        <w:rPr>
          <w:lang w:val="uz-Cyrl-UZ"/>
        </w:rPr>
        <w:t xml:space="preserve"> </w:t>
      </w:r>
      <w:r w:rsidR="00683D1D">
        <w:rPr>
          <w:lang w:val="uz-Cyrl-UZ"/>
        </w:rPr>
        <w:t>on ne plaća alimentaciju tom djetetu. Majka devojčice</w:t>
      </w:r>
      <w:r w:rsidR="009E19A5" w:rsidRPr="00DD32C2">
        <w:rPr>
          <w:lang w:val="uz-Cyrl-UZ"/>
        </w:rPr>
        <w:t>,</w:t>
      </w:r>
      <w:r w:rsidRPr="00DD32C2">
        <w:rPr>
          <w:lang w:val="uz-Cyrl-UZ"/>
        </w:rPr>
        <w:t xml:space="preserve"> </w:t>
      </w:r>
      <w:r w:rsidR="009E19A5" w:rsidRPr="00DD32C2">
        <w:rPr>
          <w:lang w:val="uz-Cyrl-UZ"/>
        </w:rPr>
        <w:t xml:space="preserve">koja je dijete odgojila </w:t>
      </w:r>
      <w:r w:rsidRPr="00DD32C2">
        <w:rPr>
          <w:lang w:val="uz-Cyrl-UZ"/>
        </w:rPr>
        <w:t xml:space="preserve">sama, umesto </w:t>
      </w:r>
      <w:r w:rsidR="009E19A5" w:rsidRPr="00DD32C2">
        <w:rPr>
          <w:lang w:val="uz-Cyrl-UZ"/>
        </w:rPr>
        <w:t>od njega</w:t>
      </w:r>
      <w:r w:rsidR="00374650">
        <w:rPr>
          <w:lang w:val="uz-Cyrl-UZ"/>
        </w:rPr>
        <w:t>, dobila je</w:t>
      </w:r>
      <w:r w:rsidR="009E19A5" w:rsidRPr="00DD32C2">
        <w:rPr>
          <w:lang w:val="uz-Cyrl-UZ"/>
        </w:rPr>
        <w:t xml:space="preserve"> </w:t>
      </w:r>
      <w:r w:rsidRPr="00DD32C2">
        <w:rPr>
          <w:lang w:val="uz-Cyrl-UZ"/>
        </w:rPr>
        <w:t>alimentaciju</w:t>
      </w:r>
      <w:r w:rsidR="009E19A5" w:rsidRPr="00DD32C2">
        <w:rPr>
          <w:lang w:val="uz-Cyrl-UZ"/>
        </w:rPr>
        <w:t xml:space="preserve"> </w:t>
      </w:r>
      <w:r w:rsidRPr="00DD32C2">
        <w:rPr>
          <w:lang w:val="uz-Cyrl-UZ"/>
        </w:rPr>
        <w:t xml:space="preserve">od države. </w:t>
      </w:r>
      <w:r w:rsidR="009E19A5" w:rsidRPr="00DD32C2">
        <w:rPr>
          <w:i/>
          <w:lang w:val="uz-Cyrl-UZ"/>
        </w:rPr>
        <w:t>Bild</w:t>
      </w:r>
      <w:r w:rsidR="009E19A5" w:rsidRPr="00DD32C2">
        <w:rPr>
          <w:lang w:val="uz-Cyrl-UZ"/>
        </w:rPr>
        <w:t xml:space="preserve"> je 2009. primio imejl</w:t>
      </w:r>
      <w:r w:rsidRPr="00DD32C2">
        <w:rPr>
          <w:lang w:val="uz-Cyrl-UZ"/>
        </w:rPr>
        <w:t xml:space="preserve"> prepisku između Speer</w:t>
      </w:r>
      <w:r w:rsidR="009E19A5" w:rsidRPr="00DD32C2">
        <w:rPr>
          <w:lang w:val="uz-Cyrl-UZ"/>
        </w:rPr>
        <w:t>-a</w:t>
      </w:r>
      <w:r w:rsidRPr="00DD32C2">
        <w:rPr>
          <w:lang w:val="uz-Cyrl-UZ"/>
        </w:rPr>
        <w:t xml:space="preserve"> i majke d</w:t>
      </w:r>
      <w:r w:rsidR="009E19A5" w:rsidRPr="00DD32C2">
        <w:rPr>
          <w:lang w:val="uz-Cyrl-UZ"/>
        </w:rPr>
        <w:t>j</w:t>
      </w:r>
      <w:r w:rsidRPr="00DD32C2">
        <w:rPr>
          <w:lang w:val="uz-Cyrl-UZ"/>
        </w:rPr>
        <w:t xml:space="preserve">eteta koje je dobijen iz laptopa koji </w:t>
      </w:r>
      <w:r w:rsidR="00683D1D">
        <w:rPr>
          <w:lang w:val="uz-Cyrl-UZ"/>
        </w:rPr>
        <w:t xml:space="preserve">je </w:t>
      </w:r>
      <w:r w:rsidRPr="00DD32C2">
        <w:rPr>
          <w:lang w:val="uz-Cyrl-UZ"/>
        </w:rPr>
        <w:t>Spe</w:t>
      </w:r>
      <w:r w:rsidR="00683D1D">
        <w:rPr>
          <w:lang w:val="uz-Cyrl-UZ"/>
        </w:rPr>
        <w:t xml:space="preserve">er </w:t>
      </w:r>
      <w:r w:rsidR="009E19A5" w:rsidRPr="00DD32C2">
        <w:rPr>
          <w:lang w:val="uz-Cyrl-UZ"/>
        </w:rPr>
        <w:t>izgubio</w:t>
      </w:r>
      <w:r w:rsidRPr="00DD32C2">
        <w:rPr>
          <w:lang w:val="uz-Cyrl-UZ"/>
        </w:rPr>
        <w:t xml:space="preserve">. </w:t>
      </w:r>
      <w:r w:rsidR="009E19A5" w:rsidRPr="00DD32C2">
        <w:rPr>
          <w:lang w:val="uz-Cyrl-UZ"/>
        </w:rPr>
        <w:t xml:space="preserve">Majka </w:t>
      </w:r>
      <w:r w:rsidRPr="00DD32C2">
        <w:rPr>
          <w:lang w:val="uz-Cyrl-UZ"/>
        </w:rPr>
        <w:t>d</w:t>
      </w:r>
      <w:r w:rsidR="009E19A5" w:rsidRPr="00DD32C2">
        <w:rPr>
          <w:lang w:val="uz-Cyrl-UZ"/>
        </w:rPr>
        <w:t>j</w:t>
      </w:r>
      <w:r w:rsidRPr="00DD32C2">
        <w:rPr>
          <w:lang w:val="uz-Cyrl-UZ"/>
        </w:rPr>
        <w:t xml:space="preserve">eteta </w:t>
      </w:r>
      <w:r w:rsidR="009E19A5" w:rsidRPr="00DD32C2">
        <w:rPr>
          <w:lang w:val="uz-Cyrl-UZ"/>
        </w:rPr>
        <w:t>je optužila</w:t>
      </w:r>
      <w:r w:rsidRPr="00DD32C2">
        <w:rPr>
          <w:lang w:val="uz-Cyrl-UZ"/>
        </w:rPr>
        <w:t xml:space="preserve"> Speer</w:t>
      </w:r>
      <w:r w:rsidR="009E19A5" w:rsidRPr="00DD32C2">
        <w:rPr>
          <w:lang w:val="uz-Cyrl-UZ"/>
        </w:rPr>
        <w:t>-a u</w:t>
      </w:r>
      <w:r w:rsidR="00683D1D">
        <w:rPr>
          <w:lang w:val="uz-Cyrl-UZ"/>
        </w:rPr>
        <w:t xml:space="preserve"> </w:t>
      </w:r>
      <w:r w:rsidR="009E19A5" w:rsidRPr="00DD32C2">
        <w:rPr>
          <w:lang w:val="uz-Cyrl-UZ"/>
        </w:rPr>
        <w:t>imejlovima</w:t>
      </w:r>
      <w:r w:rsidRPr="00DD32C2">
        <w:rPr>
          <w:lang w:val="uz-Cyrl-UZ"/>
        </w:rPr>
        <w:t xml:space="preserve"> da </w:t>
      </w:r>
      <w:r w:rsidR="009E19A5" w:rsidRPr="00DD32C2">
        <w:rPr>
          <w:lang w:val="uz-Cyrl-UZ"/>
        </w:rPr>
        <w:t>im nije obezbijedio podršku, i da je prisiljavanjem</w:t>
      </w:r>
      <w:r w:rsidRPr="00DD32C2">
        <w:rPr>
          <w:lang w:val="uz-Cyrl-UZ"/>
        </w:rPr>
        <w:t xml:space="preserve"> </w:t>
      </w:r>
      <w:r w:rsidR="009E19A5" w:rsidRPr="00DD32C2">
        <w:rPr>
          <w:lang w:val="uz-Cyrl-UZ"/>
        </w:rPr>
        <w:t xml:space="preserve">nje </w:t>
      </w:r>
      <w:r w:rsidRPr="00DD32C2">
        <w:rPr>
          <w:lang w:val="uz-Cyrl-UZ"/>
        </w:rPr>
        <w:t>da se prijav</w:t>
      </w:r>
      <w:r w:rsidR="009E19A5" w:rsidRPr="00DD32C2">
        <w:rPr>
          <w:lang w:val="uz-Cyrl-UZ"/>
        </w:rPr>
        <w:t>i</w:t>
      </w:r>
      <w:r w:rsidRPr="00DD32C2">
        <w:rPr>
          <w:lang w:val="uz-Cyrl-UZ"/>
        </w:rPr>
        <w:t xml:space="preserve"> za </w:t>
      </w:r>
      <w:r w:rsidR="009E19A5" w:rsidRPr="00DD32C2">
        <w:rPr>
          <w:lang w:val="uz-Cyrl-UZ"/>
        </w:rPr>
        <w:t>finasijsku podršku od države</w:t>
      </w:r>
      <w:r w:rsidRPr="00DD32C2">
        <w:rPr>
          <w:lang w:val="uz-Cyrl-UZ"/>
        </w:rPr>
        <w:t xml:space="preserve"> </w:t>
      </w:r>
      <w:r w:rsidR="009E19A5" w:rsidRPr="00DD32C2">
        <w:rPr>
          <w:lang w:val="uz-Cyrl-UZ"/>
        </w:rPr>
        <w:t>izvršio prevaru</w:t>
      </w:r>
      <w:r w:rsidRPr="00DD32C2">
        <w:rPr>
          <w:lang w:val="uz-Cyrl-UZ"/>
        </w:rPr>
        <w:t xml:space="preserve"> socijalnog osiguranja. </w:t>
      </w:r>
      <w:r w:rsidR="009E19A5" w:rsidRPr="00DD32C2">
        <w:rPr>
          <w:i/>
          <w:lang w:val="uz-Cyrl-UZ"/>
        </w:rPr>
        <w:t>Bild</w:t>
      </w:r>
      <w:r w:rsidR="009E19A5" w:rsidRPr="00DD32C2">
        <w:rPr>
          <w:lang w:val="uz-Cyrl-UZ"/>
        </w:rPr>
        <w:t xml:space="preserve"> </w:t>
      </w:r>
      <w:r w:rsidRPr="00DD32C2">
        <w:rPr>
          <w:lang w:val="uz-Cyrl-UZ"/>
        </w:rPr>
        <w:t xml:space="preserve">je objavio </w:t>
      </w:r>
      <w:r w:rsidR="009E19A5" w:rsidRPr="00DD32C2">
        <w:rPr>
          <w:lang w:val="uz-Cyrl-UZ"/>
        </w:rPr>
        <w:t>i</w:t>
      </w:r>
      <w:r w:rsidRPr="00DD32C2">
        <w:rPr>
          <w:lang w:val="uz-Cyrl-UZ"/>
        </w:rPr>
        <w:t>mejlove i Spe</w:t>
      </w:r>
      <w:r w:rsidR="009E19A5" w:rsidRPr="00DD32C2">
        <w:rPr>
          <w:lang w:val="uz-Cyrl-UZ"/>
        </w:rPr>
        <w:t>e</w:t>
      </w:r>
      <w:r w:rsidRPr="00DD32C2">
        <w:rPr>
          <w:lang w:val="uz-Cyrl-UZ"/>
        </w:rPr>
        <w:t xml:space="preserve">r dao ostavku </w:t>
      </w:r>
      <w:r w:rsidR="009E19A5" w:rsidRPr="00DD32C2">
        <w:rPr>
          <w:lang w:val="uz-Cyrl-UZ"/>
        </w:rPr>
        <w:t>na funkciju ministra. On je tada podni</w:t>
      </w:r>
      <w:r w:rsidRPr="00DD32C2">
        <w:rPr>
          <w:lang w:val="uz-Cyrl-UZ"/>
        </w:rPr>
        <w:t>o zaht</w:t>
      </w:r>
      <w:r w:rsidR="009E19A5" w:rsidRPr="00DD32C2">
        <w:rPr>
          <w:lang w:val="uz-Cyrl-UZ"/>
        </w:rPr>
        <w:t>jev za sudsku zabranu</w:t>
      </w:r>
      <w:r w:rsidRPr="00DD32C2">
        <w:rPr>
          <w:lang w:val="uz-Cyrl-UZ"/>
        </w:rPr>
        <w:t xml:space="preserve"> izv</w:t>
      </w:r>
      <w:r w:rsidR="009E19A5" w:rsidRPr="00DD32C2">
        <w:rPr>
          <w:lang w:val="uz-Cyrl-UZ"/>
        </w:rPr>
        <w:t>j</w:t>
      </w:r>
      <w:r w:rsidRPr="00DD32C2">
        <w:rPr>
          <w:lang w:val="uz-Cyrl-UZ"/>
        </w:rPr>
        <w:t>eštavanja</w:t>
      </w:r>
      <w:r w:rsidR="009E19A5" w:rsidRPr="00DD32C2">
        <w:rPr>
          <w:lang w:val="uz-Cyrl-UZ"/>
        </w:rPr>
        <w:t xml:space="preserve"> o privatnim imejlovima</w:t>
      </w:r>
      <w:r w:rsidRPr="00DD32C2">
        <w:rPr>
          <w:lang w:val="uz-Cyrl-UZ"/>
        </w:rPr>
        <w:t>.</w:t>
      </w:r>
    </w:p>
    <w:p w:rsidR="0082227D" w:rsidRPr="00DD32C2" w:rsidRDefault="009E19A5" w:rsidP="00DD32C2">
      <w:pPr>
        <w:jc w:val="both"/>
        <w:rPr>
          <w:rFonts w:ascii="Calibri" w:eastAsia="Calibri" w:hAnsi="Calibri" w:cs="Times New Roman"/>
          <w:lang w:val="uz-Cyrl-UZ"/>
        </w:rPr>
      </w:pPr>
      <w:r w:rsidRPr="00DD32C2">
        <w:rPr>
          <w:lang w:val="uz-Cyrl-UZ"/>
        </w:rPr>
        <w:t>Nj</w:t>
      </w:r>
      <w:r w:rsidR="00DD32C2" w:rsidRPr="00DD32C2">
        <w:rPr>
          <w:lang w:val="uz-Cyrl-UZ"/>
        </w:rPr>
        <w:t>emački Savezni V</w:t>
      </w:r>
      <w:r w:rsidRPr="00DD32C2">
        <w:rPr>
          <w:lang w:val="uz-Cyrl-UZ"/>
        </w:rPr>
        <w:t xml:space="preserve">rhovni sud je </w:t>
      </w:r>
      <w:r w:rsidR="00374650">
        <w:rPr>
          <w:lang w:val="uz-Cyrl-UZ"/>
        </w:rPr>
        <w:t>utvrdio</w:t>
      </w:r>
      <w:r w:rsidR="00374650" w:rsidRPr="00DD32C2">
        <w:rPr>
          <w:lang w:val="uz-Cyrl-UZ"/>
        </w:rPr>
        <w:t xml:space="preserve"> </w:t>
      </w:r>
      <w:r w:rsidRPr="00DD32C2">
        <w:rPr>
          <w:lang w:val="uz-Cyrl-UZ"/>
        </w:rPr>
        <w:t>da</w:t>
      </w:r>
      <w:r w:rsidR="00374650">
        <w:rPr>
          <w:lang w:val="uz-Cyrl-UZ"/>
        </w:rPr>
        <w:t xml:space="preserve"> je</w:t>
      </w:r>
      <w:r w:rsidRPr="00DD32C2">
        <w:rPr>
          <w:lang w:val="uz-Cyrl-UZ"/>
        </w:rPr>
        <w:t xml:space="preserve"> u ovom slučaju pravo javnosti na informisanje </w:t>
      </w:r>
      <w:r w:rsidR="00DD32C2">
        <w:rPr>
          <w:lang w:val="uz-Cyrl-UZ"/>
        </w:rPr>
        <w:t>ima</w:t>
      </w:r>
      <w:r w:rsidR="00374650">
        <w:rPr>
          <w:lang w:val="uz-Cyrl-UZ"/>
        </w:rPr>
        <w:t>la</w:t>
      </w:r>
      <w:r w:rsidR="00DD32C2">
        <w:rPr>
          <w:lang w:val="uz-Cyrl-UZ"/>
        </w:rPr>
        <w:t xml:space="preserve"> prednost </w:t>
      </w:r>
      <w:r w:rsidR="00DD32C2" w:rsidRPr="00DD32C2">
        <w:rPr>
          <w:lang w:val="uz-Cyrl-UZ"/>
        </w:rPr>
        <w:t>nad pravom</w:t>
      </w:r>
      <w:r w:rsidR="00DD32C2" w:rsidRPr="00DD32C2">
        <w:t xml:space="preserve"> </w:t>
      </w:r>
      <w:r w:rsidR="00DD32C2" w:rsidRPr="00DD32C2">
        <w:rPr>
          <w:lang w:val="uz-Cyrl-UZ"/>
        </w:rPr>
        <w:t>na privatnost</w:t>
      </w:r>
      <w:r w:rsidR="00DD32C2">
        <w:rPr>
          <w:lang w:val="uz-Cyrl-UZ"/>
        </w:rPr>
        <w:t>. Iako</w:t>
      </w:r>
      <w:r w:rsidRPr="00DD32C2">
        <w:rPr>
          <w:lang w:val="uz-Cyrl-UZ"/>
        </w:rPr>
        <w:t xml:space="preserve"> </w:t>
      </w:r>
      <w:r w:rsidR="00DD32C2" w:rsidRPr="00DD32C2">
        <w:rPr>
          <w:lang w:val="uz-Cyrl-UZ"/>
        </w:rPr>
        <w:t xml:space="preserve">je </w:t>
      </w:r>
      <w:r w:rsidR="00DD32C2" w:rsidRPr="00DD32C2">
        <w:rPr>
          <w:i/>
          <w:lang w:val="uz-Cyrl-UZ"/>
        </w:rPr>
        <w:t>Bild</w:t>
      </w:r>
      <w:r w:rsidR="00DD32C2" w:rsidRPr="00DD32C2">
        <w:rPr>
          <w:lang w:val="uz-Cyrl-UZ"/>
        </w:rPr>
        <w:t xml:space="preserve"> </w:t>
      </w:r>
      <w:r w:rsidR="00DD32C2">
        <w:rPr>
          <w:lang w:val="uz-Cyrl-UZ"/>
        </w:rPr>
        <w:t>narušio privatnost Speer-a</w:t>
      </w:r>
      <w:r w:rsidRPr="00DD32C2">
        <w:rPr>
          <w:lang w:val="uz-Cyrl-UZ"/>
        </w:rPr>
        <w:t xml:space="preserve">, </w:t>
      </w:r>
      <w:r w:rsidR="00DD32C2">
        <w:rPr>
          <w:lang w:val="uz-Cyrl-UZ"/>
        </w:rPr>
        <w:t>i iako su objavljeni imejlovi pribavljeni od treće strane</w:t>
      </w:r>
      <w:r w:rsidR="00683D1D">
        <w:rPr>
          <w:lang w:val="uz-Cyrl-UZ"/>
        </w:rPr>
        <w:t xml:space="preserve"> na nezakonit način</w:t>
      </w:r>
      <w:r w:rsidRPr="00DD32C2">
        <w:rPr>
          <w:lang w:val="uz-Cyrl-UZ"/>
        </w:rPr>
        <w:t>, pravo javnosti na info</w:t>
      </w:r>
      <w:r w:rsidR="00DD32C2">
        <w:rPr>
          <w:lang w:val="uz-Cyrl-UZ"/>
        </w:rPr>
        <w:t>rmisanje nadmaš</w:t>
      </w:r>
      <w:r w:rsidR="00374650">
        <w:rPr>
          <w:lang w:val="uz-Cyrl-UZ"/>
        </w:rPr>
        <w:t>ilo je</w:t>
      </w:r>
      <w:r w:rsidR="00DD32C2">
        <w:rPr>
          <w:lang w:val="uz-Cyrl-UZ"/>
        </w:rPr>
        <w:t xml:space="preserve"> pravo tužitelja na privatnost</w:t>
      </w:r>
      <w:r w:rsidRPr="00DD32C2">
        <w:rPr>
          <w:lang w:val="uz-Cyrl-UZ"/>
        </w:rPr>
        <w:t>. Sp</w:t>
      </w:r>
      <w:r w:rsidR="00DD32C2">
        <w:rPr>
          <w:lang w:val="uz-Cyrl-UZ"/>
        </w:rPr>
        <w:t>e</w:t>
      </w:r>
      <w:r w:rsidRPr="00DD32C2">
        <w:rPr>
          <w:lang w:val="uz-Cyrl-UZ"/>
        </w:rPr>
        <w:t>er bio poznati političar i bio j</w:t>
      </w:r>
      <w:r w:rsidR="00374650">
        <w:rPr>
          <w:lang w:val="uz-Cyrl-UZ"/>
        </w:rPr>
        <w:t>e</w:t>
      </w:r>
      <w:r w:rsidRPr="00DD32C2">
        <w:rPr>
          <w:lang w:val="uz-Cyrl-UZ"/>
        </w:rPr>
        <w:t xml:space="preserve"> u</w:t>
      </w:r>
      <w:r w:rsidR="00683D1D">
        <w:rPr>
          <w:lang w:val="uz-Cyrl-UZ"/>
        </w:rPr>
        <w:t xml:space="preserve"> </w:t>
      </w:r>
      <w:r w:rsidR="00DD32C2">
        <w:rPr>
          <w:lang w:val="uz-Cyrl-UZ"/>
        </w:rPr>
        <w:t>žiži javnosti</w:t>
      </w:r>
      <w:r w:rsidRPr="00DD32C2">
        <w:rPr>
          <w:lang w:val="uz-Cyrl-UZ"/>
        </w:rPr>
        <w:t xml:space="preserve">. </w:t>
      </w:r>
      <w:r w:rsidR="00DD32C2" w:rsidRPr="00DD32C2">
        <w:rPr>
          <w:i/>
          <w:lang w:val="uz-Cyrl-UZ"/>
        </w:rPr>
        <w:t>Bild</w:t>
      </w:r>
      <w:r w:rsidR="00DD32C2">
        <w:rPr>
          <w:lang w:val="uz-Cyrl-UZ"/>
        </w:rPr>
        <w:t xml:space="preserve"> je objavio imej</w:t>
      </w:r>
      <w:r w:rsidRPr="00DD32C2">
        <w:rPr>
          <w:lang w:val="uz-Cyrl-UZ"/>
        </w:rPr>
        <w:t>love</w:t>
      </w:r>
      <w:r w:rsidR="00DD32C2">
        <w:rPr>
          <w:lang w:val="uz-Cyrl-UZ"/>
        </w:rPr>
        <w:t xml:space="preserve"> kako bi dokazao</w:t>
      </w:r>
      <w:r w:rsidRPr="00DD32C2">
        <w:rPr>
          <w:lang w:val="uz-Cyrl-UZ"/>
        </w:rPr>
        <w:t xml:space="preserve"> da </w:t>
      </w:r>
      <w:r w:rsidR="00DD32C2">
        <w:rPr>
          <w:lang w:val="uz-Cyrl-UZ"/>
        </w:rPr>
        <w:t xml:space="preserve">je </w:t>
      </w:r>
      <w:r w:rsidRPr="00DD32C2">
        <w:rPr>
          <w:lang w:val="uz-Cyrl-UZ"/>
        </w:rPr>
        <w:t>Sp</w:t>
      </w:r>
      <w:r w:rsidR="00DD32C2">
        <w:rPr>
          <w:lang w:val="uz-Cyrl-UZ"/>
        </w:rPr>
        <w:t>e</w:t>
      </w:r>
      <w:r w:rsidRPr="00DD32C2">
        <w:rPr>
          <w:lang w:val="uz-Cyrl-UZ"/>
        </w:rPr>
        <w:t xml:space="preserve">er znao da </w:t>
      </w:r>
      <w:r w:rsidR="00683D1D">
        <w:rPr>
          <w:lang w:val="uz-Cyrl-UZ"/>
        </w:rPr>
        <w:t xml:space="preserve">njegovo </w:t>
      </w:r>
      <w:r w:rsidRPr="00DD32C2">
        <w:rPr>
          <w:lang w:val="uz-Cyrl-UZ"/>
        </w:rPr>
        <w:t>d</w:t>
      </w:r>
      <w:r w:rsidR="00DD32C2">
        <w:rPr>
          <w:lang w:val="uz-Cyrl-UZ"/>
        </w:rPr>
        <w:t>ij</w:t>
      </w:r>
      <w:r w:rsidRPr="00DD32C2">
        <w:rPr>
          <w:lang w:val="uz-Cyrl-UZ"/>
        </w:rPr>
        <w:t>ete</w:t>
      </w:r>
      <w:r w:rsidR="00683D1D">
        <w:rPr>
          <w:lang w:val="uz-Cyrl-UZ"/>
        </w:rPr>
        <w:t xml:space="preserve"> prima alimentaciju od države</w:t>
      </w:r>
      <w:r w:rsidRPr="00DD32C2">
        <w:rPr>
          <w:lang w:val="uz-Cyrl-UZ"/>
        </w:rPr>
        <w:t>, iako je i sam treba</w:t>
      </w:r>
      <w:r w:rsidR="00374650">
        <w:rPr>
          <w:lang w:val="uz-Cyrl-UZ"/>
        </w:rPr>
        <w:t>l</w:t>
      </w:r>
      <w:r w:rsidRPr="00DD32C2">
        <w:rPr>
          <w:lang w:val="uz-Cyrl-UZ"/>
        </w:rPr>
        <w:t xml:space="preserve">o </w:t>
      </w:r>
      <w:r w:rsidR="00DD32C2">
        <w:rPr>
          <w:lang w:val="uz-Cyrl-UZ"/>
        </w:rPr>
        <w:t>da</w:t>
      </w:r>
      <w:r w:rsidR="00683D1D">
        <w:rPr>
          <w:lang w:val="uz-Cyrl-UZ"/>
        </w:rPr>
        <w:t xml:space="preserve"> joj obezbijedi finansijsku podršku</w:t>
      </w:r>
      <w:r w:rsidRPr="00DD32C2">
        <w:rPr>
          <w:lang w:val="uz-Cyrl-UZ"/>
        </w:rPr>
        <w:t>. To je značilo da j</w:t>
      </w:r>
      <w:r w:rsidR="00DD32C2">
        <w:rPr>
          <w:lang w:val="uz-Cyrl-UZ"/>
        </w:rPr>
        <w:t>e informacija imala visok nivo „javnog značaja“</w:t>
      </w:r>
      <w:r w:rsidRPr="00DD32C2">
        <w:rPr>
          <w:lang w:val="uz-Cyrl-UZ"/>
        </w:rPr>
        <w:t xml:space="preserve">, </w:t>
      </w:r>
      <w:r w:rsidR="00374650">
        <w:rPr>
          <w:lang w:val="uz-Cyrl-UZ"/>
        </w:rPr>
        <w:t>pa je</w:t>
      </w:r>
      <w:r w:rsidRPr="00DD32C2">
        <w:rPr>
          <w:lang w:val="uz-Cyrl-UZ"/>
        </w:rPr>
        <w:t xml:space="preserve"> objavljivanje </w:t>
      </w:r>
      <w:r w:rsidR="00DD32C2">
        <w:rPr>
          <w:lang w:val="uz-Cyrl-UZ"/>
        </w:rPr>
        <w:t>i</w:t>
      </w:r>
      <w:r w:rsidRPr="00DD32C2">
        <w:rPr>
          <w:lang w:val="uz-Cyrl-UZ"/>
        </w:rPr>
        <w:t>mejlova</w:t>
      </w:r>
      <w:r w:rsidR="00DD32C2">
        <w:rPr>
          <w:lang w:val="uz-Cyrl-UZ"/>
        </w:rPr>
        <w:t xml:space="preserve"> bilo zakonito</w:t>
      </w:r>
      <w:r w:rsidRPr="00DD32C2">
        <w:rPr>
          <w:lang w:val="uz-Cyrl-UZ"/>
        </w:rPr>
        <w:t>.</w:t>
      </w:r>
    </w:p>
    <w:p w:rsidR="0082227D" w:rsidRPr="00DD32C2" w:rsidRDefault="0082227D" w:rsidP="002D668C">
      <w:pPr>
        <w:tabs>
          <w:tab w:val="left" w:pos="7295"/>
        </w:tabs>
        <w:jc w:val="both"/>
        <w:rPr>
          <w:rFonts w:ascii="Calibri" w:eastAsia="Calibri" w:hAnsi="Calibri" w:cs="Times New Roman"/>
          <w:lang w:val="uz-Cyrl-UZ"/>
        </w:rPr>
      </w:pPr>
    </w:p>
    <w:p w:rsidR="000830F1" w:rsidRPr="00DD32C2" w:rsidRDefault="00D65A8D" w:rsidP="002D668C">
      <w:pPr>
        <w:tabs>
          <w:tab w:val="left" w:pos="7295"/>
        </w:tabs>
        <w:jc w:val="both"/>
        <w:rPr>
          <w:rFonts w:ascii="Cambria" w:eastAsia="Calibri" w:hAnsi="Cambria" w:cs="Times New Roman"/>
          <w:lang w:val="uz-Cyrl-UZ"/>
        </w:rPr>
      </w:pPr>
      <w:r w:rsidRPr="00DD32C2">
        <w:rPr>
          <w:rFonts w:ascii="Cambria" w:eastAsia="Calibri" w:hAnsi="Cambria" w:cs="Times New Roman"/>
          <w:lang w:val="uz-Cyrl-UZ"/>
        </w:rPr>
        <w:tab/>
      </w:r>
    </w:p>
    <w:p w:rsidR="000830F1" w:rsidRPr="00DD32C2" w:rsidRDefault="000830F1" w:rsidP="002D668C">
      <w:pPr>
        <w:spacing w:after="0"/>
        <w:jc w:val="both"/>
        <w:rPr>
          <w:rFonts w:ascii="Calibri" w:eastAsia="Calibri" w:hAnsi="Calibri" w:cs="Times New Roman"/>
          <w:b/>
          <w:i/>
          <w:lang w:val="uz-Cyrl-UZ"/>
        </w:rPr>
      </w:pPr>
      <w:r w:rsidRPr="00DD32C2">
        <w:rPr>
          <w:rFonts w:ascii="Calibri" w:eastAsia="Calibri" w:hAnsi="Calibri" w:cs="Times New Roman"/>
          <w:b/>
          <w:i/>
          <w:lang w:val="uz-Cyrl-UZ"/>
        </w:rPr>
        <w:t>Pripremio: Peter Noorlander, direktor Media Legal Defence Initiative, u saradnji sa HRA</w:t>
      </w:r>
    </w:p>
    <w:p w:rsidR="000830F1" w:rsidRPr="00DD32C2" w:rsidRDefault="000830F1" w:rsidP="000830F1">
      <w:pPr>
        <w:spacing w:after="0"/>
        <w:jc w:val="both"/>
        <w:rPr>
          <w:rFonts w:ascii="Calibri" w:eastAsia="Calibri" w:hAnsi="Calibri" w:cs="Times New Roman"/>
          <w:b/>
          <w:i/>
          <w:lang w:val="uz-Cyrl-UZ"/>
        </w:rPr>
      </w:pPr>
    </w:p>
    <w:p w:rsidR="000830F1" w:rsidRPr="00DD32C2" w:rsidRDefault="00D06798" w:rsidP="000830F1">
      <w:pPr>
        <w:spacing w:after="0"/>
        <w:jc w:val="both"/>
        <w:rPr>
          <w:rFonts w:ascii="Calibri" w:eastAsia="Calibri" w:hAnsi="Calibri" w:cs="Times New Roman"/>
          <w:highlight w:val="yellow"/>
          <w:shd w:val="clear" w:color="auto" w:fill="FFFFFF"/>
          <w:lang w:val="uz-Cyrl-UZ"/>
        </w:rPr>
      </w:pPr>
      <w:r w:rsidRPr="00DD32C2">
        <w:rPr>
          <w:rFonts w:ascii="Calibri" w:eastAsia="Calibri" w:hAnsi="Calibri" w:cs="Times New Roman"/>
          <w:b/>
          <w:i/>
          <w:noProof/>
          <w:lang w:val="sr-Latn-ME" w:eastAsia="sr-Latn-ME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90ACD3C" wp14:editId="4E7023D4">
                <wp:simplePos x="0" y="0"/>
                <wp:positionH relativeFrom="column">
                  <wp:posOffset>-901700</wp:posOffset>
                </wp:positionH>
                <wp:positionV relativeFrom="paragraph">
                  <wp:posOffset>123189</wp:posOffset>
                </wp:positionV>
                <wp:extent cx="5724525" cy="0"/>
                <wp:effectExtent l="0" t="0" r="9525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9900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71pt;margin-top:9.7pt;width:450.7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" strokecolor="#903" strokeweight="1.5pt"/>
            </w:pict>
          </mc:Fallback>
        </mc:AlternateContent>
      </w:r>
      <w:r w:rsidR="00B44E8F" w:rsidRPr="00DD32C2">
        <w:rPr>
          <w:noProof/>
          <w:lang w:val="sr-Latn-ME" w:eastAsia="sr-Latn-ME"/>
        </w:rPr>
        <w:drawing>
          <wp:anchor distT="0" distB="0" distL="0" distR="0" simplePos="0" relativeHeight="251665408" behindDoc="0" locked="0" layoutInCell="1" allowOverlap="0" wp14:anchorId="3F1B5C39" wp14:editId="17ADD93E">
            <wp:simplePos x="0" y="0"/>
            <wp:positionH relativeFrom="column">
              <wp:posOffset>-129540</wp:posOffset>
            </wp:positionH>
            <wp:positionV relativeFrom="line">
              <wp:posOffset>118745</wp:posOffset>
            </wp:positionV>
            <wp:extent cx="1069340" cy="775970"/>
            <wp:effectExtent l="0" t="0" r="0" b="5080"/>
            <wp:wrapSquare wrapText="bothSides"/>
            <wp:docPr id="2" name="Picture 2" descr="USA_embassy_Podgo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SA_embassy_Podgori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30F1" w:rsidRPr="00DD32C2" w:rsidRDefault="000830F1" w:rsidP="000830F1">
      <w:pPr>
        <w:spacing w:after="0"/>
        <w:jc w:val="both"/>
        <w:rPr>
          <w:rFonts w:ascii="Cambria" w:eastAsia="Calibri" w:hAnsi="Cambria" w:cs="Times New Roman"/>
          <w:highlight w:val="yellow"/>
          <w:shd w:val="clear" w:color="auto" w:fill="FFFFFF"/>
          <w:lang w:val="uz-Cyrl-UZ"/>
        </w:rPr>
      </w:pPr>
    </w:p>
    <w:p w:rsidR="000830F1" w:rsidRPr="00DD32C2" w:rsidRDefault="00960506" w:rsidP="000830F1">
      <w:pPr>
        <w:spacing w:after="0"/>
        <w:jc w:val="both"/>
        <w:rPr>
          <w:rFonts w:ascii="Calibri" w:eastAsia="Calibri" w:hAnsi="Calibri" w:cs="Times New Roman"/>
          <w:lang w:val="uz-Cyrl-UZ"/>
        </w:rPr>
      </w:pPr>
      <w:r w:rsidRPr="00DD32C2">
        <w:rPr>
          <w:rFonts w:ascii="Cambria" w:eastAsia="Calibri" w:hAnsi="Cambria" w:cs="Times New Roman"/>
          <w:shd w:val="clear" w:color="auto" w:fill="FFFFFF"/>
          <w:lang w:val="uz-Cyrl-UZ"/>
        </w:rPr>
        <w:t xml:space="preserve"> </w:t>
      </w:r>
      <w:r w:rsidR="000830F1" w:rsidRPr="00DD32C2">
        <w:rPr>
          <w:rFonts w:ascii="Cambria" w:eastAsia="Calibri" w:hAnsi="Cambria" w:cs="Times New Roman"/>
          <w:shd w:val="clear" w:color="auto" w:fill="FFFFFF"/>
          <w:lang w:val="uz-Cyrl-UZ"/>
        </w:rPr>
        <w:t xml:space="preserve">Bilteni se objavljuju </w:t>
      </w:r>
      <w:r w:rsidR="005341D1" w:rsidRPr="00DD32C2">
        <w:rPr>
          <w:rFonts w:ascii="Cambria" w:eastAsia="Calibri" w:hAnsi="Cambria" w:cs="Times New Roman"/>
          <w:shd w:val="clear" w:color="auto" w:fill="FFFFFF"/>
          <w:lang w:val="uz-Cyrl-UZ"/>
        </w:rPr>
        <w:t>u okviru projekta „Podrška razumijevanju novinarske etike i slobode izražavanja“, koji finansira Ambasada Sjedinjenih Američkih Država u Podgorici</w:t>
      </w:r>
    </w:p>
    <w:p w:rsidR="00B760F2" w:rsidRPr="00DD32C2" w:rsidRDefault="00D06798" w:rsidP="009E513B">
      <w:pPr>
        <w:tabs>
          <w:tab w:val="left" w:pos="2038"/>
        </w:tabs>
        <w:rPr>
          <w:lang w:val="uz-Cyrl-UZ"/>
        </w:rPr>
      </w:pPr>
      <w:r w:rsidRPr="00DD32C2">
        <w:rPr>
          <w:rFonts w:ascii="Cambria" w:eastAsia="Calibri" w:hAnsi="Cambria" w:cs="Times New Roman"/>
          <w:noProof/>
          <w:lang w:val="sr-Latn-ME" w:eastAsia="sr-Latn-ME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373CD89" wp14:editId="0CA0A21E">
                <wp:simplePos x="0" y="0"/>
                <wp:positionH relativeFrom="column">
                  <wp:posOffset>36168</wp:posOffset>
                </wp:positionH>
                <wp:positionV relativeFrom="paragraph">
                  <wp:posOffset>213029</wp:posOffset>
                </wp:positionV>
                <wp:extent cx="5724525" cy="0"/>
                <wp:effectExtent l="0" t="0" r="952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9900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.85pt;margin-top:16.75pt;width:450.7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" strokecolor="#903" strokeweight="1.5pt"/>
            </w:pict>
          </mc:Fallback>
        </mc:AlternateContent>
      </w:r>
      <w:r w:rsidR="009E513B" w:rsidRPr="00DD32C2">
        <w:rPr>
          <w:lang w:val="uz-Cyrl-UZ"/>
        </w:rPr>
        <w:tab/>
      </w:r>
    </w:p>
    <w:sectPr w:rsidR="00B760F2" w:rsidRPr="00DD32C2" w:rsidSect="00B44E8F">
      <w:pgSz w:w="11906" w:h="16838"/>
      <w:pgMar w:top="1440" w:right="1440" w:bottom="12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C62"/>
    <w:multiLevelType w:val="hybridMultilevel"/>
    <w:tmpl w:val="AD86A47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36788"/>
    <w:multiLevelType w:val="hybridMultilevel"/>
    <w:tmpl w:val="4A4841C6"/>
    <w:lvl w:ilvl="0" w:tplc="2C1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283F20BE"/>
    <w:multiLevelType w:val="hybridMultilevel"/>
    <w:tmpl w:val="8FB6BFE4"/>
    <w:lvl w:ilvl="0" w:tplc="09EAAD72">
      <w:start w:val="26"/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C2853"/>
    <w:multiLevelType w:val="hybridMultilevel"/>
    <w:tmpl w:val="C3DEBA2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85B78"/>
    <w:multiLevelType w:val="hybridMultilevel"/>
    <w:tmpl w:val="5D10AD1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5B2E23"/>
    <w:multiLevelType w:val="hybridMultilevel"/>
    <w:tmpl w:val="779AF2B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700932"/>
    <w:multiLevelType w:val="hybridMultilevel"/>
    <w:tmpl w:val="AB22E75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BFA"/>
    <w:rsid w:val="00001B91"/>
    <w:rsid w:val="0000328B"/>
    <w:rsid w:val="000830F1"/>
    <w:rsid w:val="000934E9"/>
    <w:rsid w:val="000D36D4"/>
    <w:rsid w:val="000E4531"/>
    <w:rsid w:val="000F1A8B"/>
    <w:rsid w:val="00102EDA"/>
    <w:rsid w:val="0011616B"/>
    <w:rsid w:val="001968DB"/>
    <w:rsid w:val="00234857"/>
    <w:rsid w:val="0024089C"/>
    <w:rsid w:val="002452A8"/>
    <w:rsid w:val="00296323"/>
    <w:rsid w:val="002C66A1"/>
    <w:rsid w:val="002D668C"/>
    <w:rsid w:val="002F2D4A"/>
    <w:rsid w:val="00374650"/>
    <w:rsid w:val="00395FE6"/>
    <w:rsid w:val="003B0CDB"/>
    <w:rsid w:val="003C1ECA"/>
    <w:rsid w:val="003D6F25"/>
    <w:rsid w:val="003F7BEB"/>
    <w:rsid w:val="00436BBF"/>
    <w:rsid w:val="004468DB"/>
    <w:rsid w:val="00475153"/>
    <w:rsid w:val="004C2AA3"/>
    <w:rsid w:val="004E7B0C"/>
    <w:rsid w:val="0053208B"/>
    <w:rsid w:val="005341D1"/>
    <w:rsid w:val="00552944"/>
    <w:rsid w:val="00591E10"/>
    <w:rsid w:val="005A5CE5"/>
    <w:rsid w:val="005B096B"/>
    <w:rsid w:val="00635C6A"/>
    <w:rsid w:val="00683D1D"/>
    <w:rsid w:val="00685658"/>
    <w:rsid w:val="00691BDD"/>
    <w:rsid w:val="006C2BC8"/>
    <w:rsid w:val="006C4577"/>
    <w:rsid w:val="006D3B20"/>
    <w:rsid w:val="00701C65"/>
    <w:rsid w:val="0070748C"/>
    <w:rsid w:val="0071381B"/>
    <w:rsid w:val="0071597C"/>
    <w:rsid w:val="00721384"/>
    <w:rsid w:val="00721F11"/>
    <w:rsid w:val="00727BFA"/>
    <w:rsid w:val="00762A5F"/>
    <w:rsid w:val="007F1C7D"/>
    <w:rsid w:val="0080201B"/>
    <w:rsid w:val="008153A2"/>
    <w:rsid w:val="008170C7"/>
    <w:rsid w:val="0082227D"/>
    <w:rsid w:val="00834899"/>
    <w:rsid w:val="008435D5"/>
    <w:rsid w:val="008A2D7D"/>
    <w:rsid w:val="0094579F"/>
    <w:rsid w:val="00951B41"/>
    <w:rsid w:val="00955E23"/>
    <w:rsid w:val="00960506"/>
    <w:rsid w:val="0096291E"/>
    <w:rsid w:val="00983463"/>
    <w:rsid w:val="009C623C"/>
    <w:rsid w:val="009E19A5"/>
    <w:rsid w:val="009E513B"/>
    <w:rsid w:val="00A76416"/>
    <w:rsid w:val="00A8251D"/>
    <w:rsid w:val="00A829CA"/>
    <w:rsid w:val="00B06AD0"/>
    <w:rsid w:val="00B140C0"/>
    <w:rsid w:val="00B15E8C"/>
    <w:rsid w:val="00B44E8F"/>
    <w:rsid w:val="00B760F2"/>
    <w:rsid w:val="00C1169F"/>
    <w:rsid w:val="00C6706F"/>
    <w:rsid w:val="00CD5535"/>
    <w:rsid w:val="00D06798"/>
    <w:rsid w:val="00D238F7"/>
    <w:rsid w:val="00D323E0"/>
    <w:rsid w:val="00D4465D"/>
    <w:rsid w:val="00D53F99"/>
    <w:rsid w:val="00D554FB"/>
    <w:rsid w:val="00D65A8D"/>
    <w:rsid w:val="00D95638"/>
    <w:rsid w:val="00D97514"/>
    <w:rsid w:val="00DB209A"/>
    <w:rsid w:val="00DC2899"/>
    <w:rsid w:val="00DD32C2"/>
    <w:rsid w:val="00E2593E"/>
    <w:rsid w:val="00E44EBA"/>
    <w:rsid w:val="00E46FF4"/>
    <w:rsid w:val="00E51184"/>
    <w:rsid w:val="00E74FCC"/>
    <w:rsid w:val="00E80CE8"/>
    <w:rsid w:val="00EB3E4C"/>
    <w:rsid w:val="00F04C83"/>
    <w:rsid w:val="00F747E4"/>
    <w:rsid w:val="00FA7F3C"/>
    <w:rsid w:val="00FF4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BE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A76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1A6DC2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97514"/>
    <w:pPr>
      <w:ind w:left="720"/>
      <w:contextualSpacing/>
    </w:p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76416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62A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A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A5F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A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A5F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B44E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4E8F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B44E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4E8F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BE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A76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1A6DC2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97514"/>
    <w:pPr>
      <w:ind w:left="720"/>
      <w:contextualSpacing/>
    </w:p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76416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62A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A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A5F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A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A5F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B44E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4E8F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B44E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4E8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cp:lastPrinted>2015-03-11T14:21:00Z</cp:lastPrinted>
  <dcterms:created xsi:type="dcterms:W3CDTF">2015-03-09T16:01:00Z</dcterms:created>
  <dcterms:modified xsi:type="dcterms:W3CDTF">2015-03-11T14:22:00Z</dcterms:modified>
</cp:coreProperties>
</file>