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84A" w:rsidRPr="00E12353" w:rsidRDefault="00A45074" w:rsidP="0009184A">
      <w:pPr>
        <w:pStyle w:val="Heading1"/>
        <w:rPr>
          <w:color w:val="auto"/>
        </w:rPr>
      </w:pPr>
      <w:r>
        <w:rPr>
          <w:lang w:eastAsia="sr-Latn-ME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-526415</wp:posOffset>
            </wp:positionV>
            <wp:extent cx="3081655" cy="1217930"/>
            <wp:effectExtent l="25400" t="0" r="0" b="0"/>
            <wp:wrapNone/>
            <wp:docPr id="4" name="Picture 2" descr="NOV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I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655" cy="121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2353" w:rsidRPr="00E12353" w:rsidRDefault="00E12353" w:rsidP="00E12353">
      <w:pPr>
        <w:pStyle w:val="Heading1"/>
        <w:spacing w:after="240"/>
        <w:jc w:val="both"/>
        <w:rPr>
          <w:color w:val="auto"/>
        </w:rPr>
      </w:pPr>
      <w:r w:rsidRPr="00E12353">
        <w:rPr>
          <w:color w:val="auto"/>
        </w:rPr>
        <w:t xml:space="preserve">Sloboda izražavanja – presude Evropskog suda za ljudska prava </w:t>
      </w:r>
    </w:p>
    <w:p w:rsidR="00E26B3C" w:rsidRPr="00E12353" w:rsidRDefault="0009184A" w:rsidP="00657FD4">
      <w:pPr>
        <w:pStyle w:val="Heading1"/>
        <w:jc w:val="both"/>
        <w:rPr>
          <w:color w:val="auto"/>
        </w:rPr>
      </w:pPr>
      <w:r w:rsidRPr="00E12353">
        <w:rPr>
          <w:color w:val="auto"/>
        </w:rPr>
        <w:t>B</w:t>
      </w:r>
      <w:r w:rsidR="00E12353" w:rsidRPr="00E12353">
        <w:rPr>
          <w:color w:val="auto"/>
        </w:rPr>
        <w:t>ilten</w:t>
      </w:r>
      <w:r w:rsidRPr="00E12353">
        <w:rPr>
          <w:color w:val="auto"/>
        </w:rPr>
        <w:t xml:space="preserve"> </w:t>
      </w:r>
      <w:r w:rsidR="004E6F0C" w:rsidRPr="00E12353">
        <w:rPr>
          <w:color w:val="auto"/>
        </w:rPr>
        <w:t>X</w:t>
      </w:r>
      <w:r w:rsidR="00CB1468" w:rsidRPr="00E12353">
        <w:rPr>
          <w:color w:val="auto"/>
        </w:rPr>
        <w:t>X</w:t>
      </w:r>
      <w:r w:rsidR="006D5BC6" w:rsidRPr="00E12353">
        <w:rPr>
          <w:color w:val="auto"/>
        </w:rPr>
        <w:t>IX</w:t>
      </w:r>
      <w:r w:rsidRPr="00E12353">
        <w:rPr>
          <w:color w:val="auto"/>
        </w:rPr>
        <w:t xml:space="preserve">: </w:t>
      </w:r>
      <w:r w:rsidR="00E12353" w:rsidRPr="00E12353">
        <w:rPr>
          <w:color w:val="auto"/>
        </w:rPr>
        <w:t>Opscenost i javni moral</w:t>
      </w:r>
    </w:p>
    <w:p w:rsidR="0009184A" w:rsidRPr="00E12353" w:rsidRDefault="0043477C" w:rsidP="0009184A">
      <w:pPr>
        <w:spacing w:line="480" w:lineRule="auto"/>
        <w:rPr>
          <w:i/>
        </w:rPr>
      </w:pPr>
      <w:r>
        <w:rPr>
          <w:lang w:val="en-US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4" type="#_x0000_t38" style="position:absolute;margin-left:-3.4pt;margin-top:33.3pt;width:459.8pt;height:.05pt;z-index:251656704" o:connectortype="curved" adj="10800,-119556000,-3312" strokecolor="#903" strokeweight="1.5pt"/>
        </w:pict>
      </w:r>
      <w:r w:rsidR="00F87B38">
        <w:rPr>
          <w:i/>
        </w:rPr>
        <w:t>14</w:t>
      </w:r>
      <w:r w:rsidR="00E12353">
        <w:rPr>
          <w:i/>
        </w:rPr>
        <w:t>.</w:t>
      </w:r>
      <w:r w:rsidR="0026752E" w:rsidRPr="00E12353">
        <w:rPr>
          <w:i/>
        </w:rPr>
        <w:t xml:space="preserve"> </w:t>
      </w:r>
      <w:r w:rsidR="00F87B38">
        <w:rPr>
          <w:i/>
        </w:rPr>
        <w:t>febr</w:t>
      </w:r>
      <w:r w:rsidR="00E12353">
        <w:rPr>
          <w:i/>
        </w:rPr>
        <w:t>uar</w:t>
      </w:r>
      <w:r w:rsidR="00A80ED7" w:rsidRPr="00E12353">
        <w:rPr>
          <w:i/>
        </w:rPr>
        <w:t xml:space="preserve"> </w:t>
      </w:r>
      <w:r w:rsidR="006D5BC6" w:rsidRPr="00E12353">
        <w:rPr>
          <w:i/>
        </w:rPr>
        <w:t>2014</w:t>
      </w:r>
      <w:r w:rsidR="00E12353">
        <w:rPr>
          <w:i/>
        </w:rPr>
        <w:t>.</w:t>
      </w:r>
    </w:p>
    <w:p w:rsidR="00933D32" w:rsidRPr="00E12353" w:rsidRDefault="005A730C" w:rsidP="00933D32">
      <w:pPr>
        <w:keepNext/>
        <w:framePr w:dropCap="drop" w:lines="3" w:wrap="around" w:vAnchor="text" w:hAnchor="page" w:x="1381" w:y="334"/>
        <w:spacing w:after="0" w:line="926" w:lineRule="exact"/>
        <w:jc w:val="both"/>
        <w:textAlignment w:val="baseline"/>
        <w:rPr>
          <w:position w:val="-9"/>
          <w:sz w:val="100"/>
          <w:szCs w:val="100"/>
        </w:rPr>
      </w:pPr>
      <w:r>
        <w:rPr>
          <w:position w:val="-9"/>
          <w:sz w:val="100"/>
          <w:szCs w:val="100"/>
        </w:rPr>
        <w:t>O</w:t>
      </w:r>
    </w:p>
    <w:p w:rsidR="0007578B" w:rsidRPr="00E12353" w:rsidRDefault="0007578B" w:rsidP="0007578B">
      <w:pPr>
        <w:rPr>
          <w:i/>
        </w:rPr>
      </w:pPr>
    </w:p>
    <w:p w:rsidR="005A730C" w:rsidRDefault="005A730C" w:rsidP="006D5BC6">
      <w:pPr>
        <w:pStyle w:val="ListParagraph"/>
        <w:spacing w:before="240"/>
        <w:ind w:left="0"/>
        <w:jc w:val="both"/>
      </w:pPr>
      <w:r>
        <w:t xml:space="preserve">vaj bilten </w:t>
      </w:r>
      <w:r w:rsidRPr="005A730C">
        <w:t>sumira nekoliko presuda Evropskog suda za ljudska prava koje se bave pitanjem javnog morala</w:t>
      </w:r>
      <w:r>
        <w:t xml:space="preserve"> i „opscenosti“</w:t>
      </w:r>
      <w:r w:rsidR="009C5ABC">
        <w:t xml:space="preserve"> (nemoralnog, bestidnog, nepristojnog)</w:t>
      </w:r>
      <w:r>
        <w:t>.</w:t>
      </w:r>
      <w:r w:rsidRPr="005A730C">
        <w:t xml:space="preserve"> </w:t>
      </w:r>
      <w:r w:rsidR="00912C41">
        <w:t>To</w:t>
      </w:r>
      <w:r w:rsidRPr="005A730C">
        <w:t xml:space="preserve"> je</w:t>
      </w:r>
      <w:r>
        <w:t xml:space="preserve"> oblast u kojoj </w:t>
      </w:r>
      <w:r w:rsidRPr="005A730C">
        <w:t>Evropski sud ob</w:t>
      </w:r>
      <w:r>
        <w:t>ično dozvoljava državama značaj</w:t>
      </w:r>
      <w:r w:rsidRPr="005A730C">
        <w:t>n</w:t>
      </w:r>
      <w:r w:rsidR="009C5ABC">
        <w:t xml:space="preserve">u diskreciju (tzv. </w:t>
      </w:r>
      <w:r w:rsidRPr="005A730C">
        <w:t>polje slobodne proc</w:t>
      </w:r>
      <w:r>
        <w:t>j</w:t>
      </w:r>
      <w:r w:rsidRPr="005A730C">
        <w:t>ene</w:t>
      </w:r>
      <w:r w:rsidR="009C5ABC">
        <w:t>)</w:t>
      </w:r>
      <w:r w:rsidRPr="005A730C">
        <w:t xml:space="preserve"> </w:t>
      </w:r>
      <w:r w:rsidR="009C5ABC">
        <w:t>pri</w:t>
      </w:r>
      <w:r w:rsidRPr="005A730C">
        <w:t xml:space="preserve"> odlučivanju u kojoj m</w:t>
      </w:r>
      <w:r w:rsidR="003449CE">
        <w:t>j</w:t>
      </w:r>
      <w:r w:rsidRPr="005A730C">
        <w:t>eri mo</w:t>
      </w:r>
      <w:r w:rsidR="009C5ABC">
        <w:t>gu da</w:t>
      </w:r>
      <w:r w:rsidRPr="005A730C">
        <w:t xml:space="preserve"> ogranič</w:t>
      </w:r>
      <w:r w:rsidR="009C5ABC">
        <w:t>e</w:t>
      </w:r>
      <w:r w:rsidRPr="005A730C">
        <w:t xml:space="preserve"> </w:t>
      </w:r>
      <w:r w:rsidR="003449CE">
        <w:t>slobod</w:t>
      </w:r>
      <w:r w:rsidR="009C5ABC">
        <w:t>u</w:t>
      </w:r>
      <w:r w:rsidRPr="005A730C">
        <w:t xml:space="preserve"> izražavanja. </w:t>
      </w:r>
      <w:r w:rsidR="00912C41">
        <w:t xml:space="preserve">Iako </w:t>
      </w:r>
      <w:r w:rsidR="009C5ABC">
        <w:t>S</w:t>
      </w:r>
      <w:r w:rsidR="00912C41">
        <w:t>ud pri</w:t>
      </w:r>
      <w:r w:rsidR="009C5ABC">
        <w:t>hvata</w:t>
      </w:r>
      <w:r w:rsidR="00912C41">
        <w:t xml:space="preserve"> da javni moral varira od </w:t>
      </w:r>
      <w:r w:rsidR="009C5ABC">
        <w:t>zemlje</w:t>
      </w:r>
      <w:r w:rsidR="00912C41">
        <w:t xml:space="preserve"> do zemlje</w:t>
      </w:r>
      <w:r w:rsidR="004F2384">
        <w:t xml:space="preserve">, </w:t>
      </w:r>
      <w:r w:rsidR="009C5ABC">
        <w:t xml:space="preserve">on ipak </w:t>
      </w:r>
      <w:r w:rsidR="004F2384">
        <w:t>d</w:t>
      </w:r>
      <w:r w:rsidR="00912C41">
        <w:t>ržav</w:t>
      </w:r>
      <w:r w:rsidR="009C5ABC">
        <w:t>ama</w:t>
      </w:r>
      <w:r w:rsidR="00912C41">
        <w:t xml:space="preserve"> ne</w:t>
      </w:r>
      <w:r w:rsidR="009C5ABC">
        <w:t xml:space="preserve"> dozvoljava</w:t>
      </w:r>
      <w:r>
        <w:t xml:space="preserve"> neograničenu slobodu odlučivanja</w:t>
      </w:r>
      <w:r w:rsidRPr="005A730C">
        <w:t xml:space="preserve"> </w:t>
      </w:r>
      <w:r>
        <w:t>–</w:t>
      </w:r>
      <w:r w:rsidRPr="005A730C">
        <w:t xml:space="preserve"> </w:t>
      </w:r>
      <w:r>
        <w:t xml:space="preserve">svako ograničenje koje </w:t>
      </w:r>
      <w:r w:rsidR="009C5ABC">
        <w:t xml:space="preserve">se </w:t>
      </w:r>
      <w:r w:rsidRPr="005A730C">
        <w:t>nam</w:t>
      </w:r>
      <w:r>
        <w:t>e</w:t>
      </w:r>
      <w:r w:rsidR="009C5ABC">
        <w:t>ć</w:t>
      </w:r>
      <w:r>
        <w:t>e</w:t>
      </w:r>
      <w:r w:rsidR="009C5ABC">
        <w:t xml:space="preserve"> i u ovoj oblasti</w:t>
      </w:r>
      <w:r w:rsidRPr="005A730C">
        <w:t xml:space="preserve"> </w:t>
      </w:r>
      <w:r>
        <w:t>mora</w:t>
      </w:r>
      <w:r w:rsidRPr="005A730C">
        <w:t xml:space="preserve"> </w:t>
      </w:r>
      <w:r>
        <w:t xml:space="preserve"> </w:t>
      </w:r>
      <w:r w:rsidR="009C5ABC">
        <w:t xml:space="preserve">da </w:t>
      </w:r>
      <w:r>
        <w:t>b</w:t>
      </w:r>
      <w:r w:rsidR="009C5ABC">
        <w:t>ude</w:t>
      </w:r>
      <w:r>
        <w:t xml:space="preserve"> opravdano kao „</w:t>
      </w:r>
      <w:r w:rsidRPr="005A730C">
        <w:t>neophodno</w:t>
      </w:r>
      <w:r>
        <w:t>“</w:t>
      </w:r>
      <w:r w:rsidRPr="005A730C">
        <w:t xml:space="preserve"> u demokratskom društvu </w:t>
      </w:r>
      <w:r>
        <w:t xml:space="preserve">i </w:t>
      </w:r>
      <w:r w:rsidR="004F2384">
        <w:t>za</w:t>
      </w:r>
      <w:r>
        <w:t>snovano na jasno formulisanom zakonu</w:t>
      </w:r>
      <w:r w:rsidRPr="005A730C">
        <w:t xml:space="preserve">. </w:t>
      </w:r>
      <w:r>
        <w:t xml:space="preserve">Ono što </w:t>
      </w:r>
      <w:r w:rsidR="009C5ABC">
        <w:t>se</w:t>
      </w:r>
      <w:r w:rsidRPr="005A730C">
        <w:t xml:space="preserve"> u jed</w:t>
      </w:r>
      <w:r>
        <w:t>noj zemlji smatra</w:t>
      </w:r>
      <w:r w:rsidRPr="005A730C">
        <w:t xml:space="preserve"> </w:t>
      </w:r>
      <w:r>
        <w:t xml:space="preserve">sasvim prihvatljivim, u drugoj </w:t>
      </w:r>
      <w:r w:rsidR="009C5ABC">
        <w:t>se</w:t>
      </w:r>
      <w:r>
        <w:t xml:space="preserve"> može </w:t>
      </w:r>
      <w:r w:rsidR="009C5ABC">
        <w:t>smatrati</w:t>
      </w:r>
      <w:r>
        <w:t xml:space="preserve"> </w:t>
      </w:r>
      <w:r w:rsidR="009C5ABC">
        <w:t>nemoralnim</w:t>
      </w:r>
      <w:r>
        <w:t xml:space="preserve">. </w:t>
      </w:r>
      <w:r w:rsidRPr="005A730C">
        <w:t xml:space="preserve">Sud </w:t>
      </w:r>
      <w:r w:rsidR="0036132B">
        <w:t xml:space="preserve">ovdje </w:t>
      </w:r>
      <w:r w:rsidRPr="005A730C">
        <w:t xml:space="preserve">pravi razliku između </w:t>
      </w:r>
      <w:r w:rsidR="004F2384">
        <w:t>čisto</w:t>
      </w:r>
      <w:r w:rsidR="00B509C8">
        <w:t>g umjetničkog izražavanja i političkog govora</w:t>
      </w:r>
      <w:r w:rsidR="004F2384">
        <w:t xml:space="preserve"> </w:t>
      </w:r>
      <w:r w:rsidRPr="005A730C">
        <w:t>primenjujući viši standard zaštite za političk</w:t>
      </w:r>
      <w:r>
        <w:t>i</w:t>
      </w:r>
      <w:r w:rsidRPr="005A730C">
        <w:t xml:space="preserve"> govor.</w:t>
      </w:r>
    </w:p>
    <w:p w:rsidR="005A730C" w:rsidRDefault="005A730C" w:rsidP="006D5BC6">
      <w:pPr>
        <w:pStyle w:val="ListParagraph"/>
        <w:spacing w:before="240"/>
        <w:ind w:left="0"/>
        <w:jc w:val="both"/>
      </w:pPr>
    </w:p>
    <w:p w:rsidR="006D5BC6" w:rsidRPr="00E12353" w:rsidRDefault="005246EA" w:rsidP="006D5BC6">
      <w:pPr>
        <w:pStyle w:val="ListParagraph"/>
        <w:spacing w:before="240"/>
        <w:ind w:left="0"/>
      </w:pPr>
      <w:r w:rsidRPr="005246EA">
        <w:t>Sl</w:t>
      </w:r>
      <w:r>
        <w:t>j</w:t>
      </w:r>
      <w:r w:rsidRPr="005246EA">
        <w:t xml:space="preserve">edeći slučajevi pokazuju </w:t>
      </w:r>
      <w:r>
        <w:t>p</w:t>
      </w:r>
      <w:r w:rsidR="004C3393">
        <w:t>os</w:t>
      </w:r>
      <w:r>
        <w:t>tupa</w:t>
      </w:r>
      <w:r w:rsidR="009C5ABC">
        <w:t>nje</w:t>
      </w:r>
      <w:r>
        <w:t xml:space="preserve"> </w:t>
      </w:r>
      <w:r w:rsidR="009C5ABC">
        <w:t xml:space="preserve">Suda </w:t>
      </w:r>
      <w:r>
        <w:t xml:space="preserve">u </w:t>
      </w:r>
      <w:r w:rsidR="009C5ABC">
        <w:t>specifičn</w:t>
      </w:r>
      <w:r>
        <w:t>im slučajevima</w:t>
      </w:r>
      <w:r w:rsidRPr="005246EA">
        <w:t>.</w:t>
      </w:r>
    </w:p>
    <w:p w:rsidR="006D5BC6" w:rsidRPr="00E05522" w:rsidRDefault="006D5BC6" w:rsidP="006D5BC6">
      <w:pPr>
        <w:pStyle w:val="ListParagraph"/>
        <w:spacing w:before="240"/>
        <w:ind w:left="0"/>
        <w:rPr>
          <w:b/>
        </w:rPr>
      </w:pPr>
    </w:p>
    <w:p w:rsidR="006D5BC6" w:rsidRPr="00E12353" w:rsidRDefault="006D5BC6" w:rsidP="005246EA">
      <w:pPr>
        <w:pStyle w:val="ListParagraph"/>
        <w:numPr>
          <w:ilvl w:val="0"/>
          <w:numId w:val="25"/>
        </w:numPr>
        <w:jc w:val="both"/>
        <w:rPr>
          <w:i/>
        </w:rPr>
      </w:pPr>
      <w:r w:rsidRPr="00E05522">
        <w:rPr>
          <w:b/>
          <w:i/>
        </w:rPr>
        <w:t xml:space="preserve">Müller </w:t>
      </w:r>
      <w:r w:rsidR="005246EA" w:rsidRPr="00E05522">
        <w:rPr>
          <w:b/>
          <w:i/>
        </w:rPr>
        <w:t>i drugi</w:t>
      </w:r>
      <w:r w:rsidRPr="00E05522">
        <w:rPr>
          <w:b/>
          <w:i/>
        </w:rPr>
        <w:t xml:space="preserve"> </w:t>
      </w:r>
      <w:r w:rsidR="005246EA" w:rsidRPr="00E05522">
        <w:rPr>
          <w:b/>
          <w:i/>
        </w:rPr>
        <w:t>protiv Švajcarske</w:t>
      </w:r>
      <w:r w:rsidRPr="00E12353">
        <w:t xml:space="preserve"> (</w:t>
      </w:r>
      <w:r w:rsidR="005246EA">
        <w:t xml:space="preserve">predstavka br. </w:t>
      </w:r>
      <w:r w:rsidRPr="00E12353">
        <w:t>10737/84), 24</w:t>
      </w:r>
      <w:r w:rsidR="005246EA">
        <w:t>. maj</w:t>
      </w:r>
      <w:r w:rsidRPr="00E12353">
        <w:t xml:space="preserve"> 1988</w:t>
      </w:r>
      <w:r w:rsidR="005246EA">
        <w:t xml:space="preserve">: </w:t>
      </w:r>
      <w:r w:rsidR="005246EA" w:rsidRPr="005246EA">
        <w:rPr>
          <w:highlight w:val="yellow"/>
        </w:rPr>
        <w:t>novčana kazna i privremeno oduzimanje opscenih slika nijesu prekršili pravo na slobodu izražavanja</w:t>
      </w:r>
    </w:p>
    <w:p w:rsidR="005C4872" w:rsidRPr="00E12353" w:rsidRDefault="005C4872" w:rsidP="006D5BC6">
      <w:pPr>
        <w:pStyle w:val="ListParagraph"/>
        <w:spacing w:before="240" w:after="0"/>
        <w:ind w:left="0"/>
        <w:jc w:val="both"/>
      </w:pPr>
    </w:p>
    <w:p w:rsidR="005246EA" w:rsidRDefault="003B302F" w:rsidP="00E338D0">
      <w:pPr>
        <w:spacing w:after="0"/>
        <w:jc w:val="both"/>
      </w:pPr>
      <w:r>
        <w:t>Slučaj se ticao postavke</w:t>
      </w:r>
      <w:r w:rsidR="005246EA">
        <w:t xml:space="preserve"> tri seksualno eksplicitne slik</w:t>
      </w:r>
      <w:r w:rsidR="00447B9F">
        <w:t>e, na kojima su prikazani felacio, sodomija i seks sa životinjama,</w:t>
      </w:r>
      <w:r w:rsidR="005246EA">
        <w:t xml:space="preserve"> </w:t>
      </w:r>
      <w:r w:rsidR="00256678">
        <w:t>u okviru izložbe savremene umjetnosti</w:t>
      </w:r>
      <w:r>
        <w:t>. Izložba</w:t>
      </w:r>
      <w:r w:rsidR="005246EA">
        <w:t xml:space="preserve"> je </w:t>
      </w:r>
      <w:r w:rsidR="004C3393">
        <w:t xml:space="preserve">bila </w:t>
      </w:r>
      <w:r w:rsidR="005246EA">
        <w:t>široko reklamiran</w:t>
      </w:r>
      <w:r>
        <w:t>a i</w:t>
      </w:r>
      <w:r w:rsidR="005246EA">
        <w:t xml:space="preserve"> otvoren</w:t>
      </w:r>
      <w:r w:rsidR="00256678">
        <w:t>og tipa</w:t>
      </w:r>
      <w:r w:rsidR="005246EA">
        <w:t>, a</w:t>
      </w:r>
      <w:r>
        <w:t xml:space="preserve"> </w:t>
      </w:r>
      <w:r w:rsidR="005246EA">
        <w:t xml:space="preserve">prateći katalog </w:t>
      </w:r>
      <w:r>
        <w:t>je sadržao</w:t>
      </w:r>
      <w:r w:rsidR="005246EA">
        <w:t xml:space="preserve"> fotografije slika. Na dan otvaranja</w:t>
      </w:r>
      <w:r>
        <w:t xml:space="preserve"> izložbe, državni</w:t>
      </w:r>
      <w:r w:rsidR="005246EA">
        <w:t xml:space="preserve"> tužilac je pokrenuo postupak protiv um</w:t>
      </w:r>
      <w:r>
        <w:t>j</w:t>
      </w:r>
      <w:r w:rsidR="005246EA">
        <w:t xml:space="preserve">etnika tvrdeći da su slike </w:t>
      </w:r>
      <w:r>
        <w:t>opscene</w:t>
      </w:r>
      <w:r w:rsidR="005246EA">
        <w:t xml:space="preserve"> i </w:t>
      </w:r>
      <w:r>
        <w:t>da ih treba u</w:t>
      </w:r>
      <w:r w:rsidR="005246EA">
        <w:t>ništ</w:t>
      </w:r>
      <w:r>
        <w:t>iti</w:t>
      </w:r>
      <w:r w:rsidR="005246EA">
        <w:t xml:space="preserve">. U </w:t>
      </w:r>
      <w:r>
        <w:t>p</w:t>
      </w:r>
      <w:r w:rsidR="005246EA">
        <w:t xml:space="preserve">ravnim postupcima </w:t>
      </w:r>
      <w:r>
        <w:t>koji su uslijedili, slike su privremeno oduzete</w:t>
      </w:r>
      <w:r w:rsidR="00B509C8">
        <w:t>,</w:t>
      </w:r>
      <w:r>
        <w:t xml:space="preserve"> a</w:t>
      </w:r>
      <w:r w:rsidR="005246EA">
        <w:t xml:space="preserve"> um</w:t>
      </w:r>
      <w:r>
        <w:t>j</w:t>
      </w:r>
      <w:r w:rsidR="005246EA">
        <w:t xml:space="preserve">etnici </w:t>
      </w:r>
      <w:r>
        <w:t xml:space="preserve">novčano </w:t>
      </w:r>
      <w:r w:rsidR="005246EA">
        <w:t>kažnjeni. Um</w:t>
      </w:r>
      <w:r>
        <w:t>j</w:t>
      </w:r>
      <w:r w:rsidR="005246EA">
        <w:t xml:space="preserve">etnici </w:t>
      </w:r>
      <w:r>
        <w:t xml:space="preserve">su zatim podnijeli predstavku </w:t>
      </w:r>
      <w:r w:rsidR="005246EA">
        <w:t>Evropskom sudu za ljudska prava.</w:t>
      </w:r>
    </w:p>
    <w:p w:rsidR="005246EA" w:rsidRDefault="005246EA" w:rsidP="00E338D0">
      <w:pPr>
        <w:spacing w:after="0"/>
        <w:jc w:val="both"/>
      </w:pPr>
    </w:p>
    <w:p w:rsidR="00E338D0" w:rsidRDefault="009027A1" w:rsidP="00E338D0">
      <w:pPr>
        <w:spacing w:after="0"/>
        <w:jc w:val="both"/>
      </w:pPr>
      <w:r w:rsidRPr="009027A1">
        <w:t xml:space="preserve">Sud je smatrao da </w:t>
      </w:r>
      <w:r>
        <w:t xml:space="preserve">u ovom slučaju </w:t>
      </w:r>
      <w:r w:rsidRPr="009027A1">
        <w:t xml:space="preserve">nije </w:t>
      </w:r>
      <w:r>
        <w:t>prekršeno pravo</w:t>
      </w:r>
      <w:r w:rsidRPr="009027A1">
        <w:t xml:space="preserve"> na slobodu izražavanja. Sud je naglasio da</w:t>
      </w:r>
      <w:r w:rsidR="00987F06">
        <w:t xml:space="preserve"> </w:t>
      </w:r>
      <w:r w:rsidR="00D55D45">
        <w:t>države</w:t>
      </w:r>
      <w:r w:rsidRPr="009027A1">
        <w:t xml:space="preserve"> </w:t>
      </w:r>
      <w:r>
        <w:t>imaju zn</w:t>
      </w:r>
      <w:r w:rsidRPr="009027A1">
        <w:t xml:space="preserve">ačajan stepen </w:t>
      </w:r>
      <w:r>
        <w:t>slobode</w:t>
      </w:r>
      <w:r w:rsidRPr="009027A1">
        <w:t xml:space="preserve"> u odlučivanju šta je </w:t>
      </w:r>
      <w:r w:rsidR="00D55D45">
        <w:t xml:space="preserve">moralno </w:t>
      </w:r>
      <w:r w:rsidRPr="009027A1">
        <w:t>prihvatljivo</w:t>
      </w:r>
      <w:r>
        <w:t>, navodeći da „u pravnim i socijalnim normama (</w:t>
      </w:r>
      <w:r w:rsidRPr="009027A1">
        <w:t>evropskih zemalj</w:t>
      </w:r>
      <w:r>
        <w:t xml:space="preserve">a) nije moguće naći </w:t>
      </w:r>
      <w:r w:rsidRPr="009027A1">
        <w:t>jedinstven evropski koncep</w:t>
      </w:r>
      <w:r>
        <w:t>t morala</w:t>
      </w:r>
      <w:r w:rsidRPr="009027A1">
        <w:t xml:space="preserve">. </w:t>
      </w:r>
      <w:r>
        <w:t>Uslovi za kvalifikaciju m</w:t>
      </w:r>
      <w:r w:rsidRPr="009027A1">
        <w:t>orala varira</w:t>
      </w:r>
      <w:r>
        <w:t>ju</w:t>
      </w:r>
      <w:r w:rsidR="00811E94">
        <w:t xml:space="preserve"> </w:t>
      </w:r>
      <w:r>
        <w:t>vremenom</w:t>
      </w:r>
      <w:r w:rsidR="00987F06">
        <w:t>,</w:t>
      </w:r>
      <w:r w:rsidRPr="009027A1">
        <w:t xml:space="preserve"> i od m</w:t>
      </w:r>
      <w:r>
        <w:t>j</w:t>
      </w:r>
      <w:r w:rsidRPr="009027A1">
        <w:t>esta do m</w:t>
      </w:r>
      <w:r>
        <w:t>j</w:t>
      </w:r>
      <w:r w:rsidRPr="009027A1">
        <w:t>esta, posebno u naš</w:t>
      </w:r>
      <w:r w:rsidR="00987F06">
        <w:t xml:space="preserve">e vrijeme </w:t>
      </w:r>
      <w:r>
        <w:t xml:space="preserve">koje karakteriše </w:t>
      </w:r>
      <w:r w:rsidR="00D55D45">
        <w:t>poodmakla</w:t>
      </w:r>
      <w:r>
        <w:t xml:space="preserve"> evolucija mišljenja o toj temi</w:t>
      </w:r>
      <w:r w:rsidRPr="009027A1">
        <w:t xml:space="preserve">. </w:t>
      </w:r>
      <w:r>
        <w:t>Zbog</w:t>
      </w:r>
      <w:r w:rsidRPr="009027A1">
        <w:t xml:space="preserve"> </w:t>
      </w:r>
      <w:r w:rsidR="00987F06">
        <w:t>neposrednog</w:t>
      </w:r>
      <w:r w:rsidRPr="009027A1">
        <w:t xml:space="preserve"> i stalno</w:t>
      </w:r>
      <w:r>
        <w:t>g</w:t>
      </w:r>
      <w:r w:rsidRPr="009027A1">
        <w:t xml:space="preserve"> kontakt</w:t>
      </w:r>
      <w:r>
        <w:t>a</w:t>
      </w:r>
      <w:r w:rsidRPr="009027A1">
        <w:t xml:space="preserve"> </w:t>
      </w:r>
      <w:r>
        <w:t xml:space="preserve">koje državni organi imaju sa </w:t>
      </w:r>
      <w:r w:rsidR="00987F06">
        <w:t>društvenim tokovima u njihovim zemljama</w:t>
      </w:r>
      <w:r w:rsidR="00E20D89">
        <w:t xml:space="preserve">, </w:t>
      </w:r>
      <w:r>
        <w:t>oni</w:t>
      </w:r>
      <w:r w:rsidRPr="009027A1">
        <w:t xml:space="preserve"> su </w:t>
      </w:r>
      <w:r w:rsidR="00D55D45">
        <w:t>načelno</w:t>
      </w:r>
      <w:r w:rsidRPr="009027A1">
        <w:t xml:space="preserve"> u boljem položaju od međunarodnog sudije da daju mišljenje o </w:t>
      </w:r>
      <w:r>
        <w:t xml:space="preserve">ovim uslovima, kao i </w:t>
      </w:r>
      <w:r w:rsidR="004D510F">
        <w:t xml:space="preserve">o </w:t>
      </w:r>
      <w:r w:rsidR="00987F06">
        <w:t>'</w:t>
      </w:r>
      <w:r w:rsidR="004D510F" w:rsidRPr="009027A1">
        <w:t>neophodn</w:t>
      </w:r>
      <w:r w:rsidR="004D510F">
        <w:t>osti</w:t>
      </w:r>
      <w:r w:rsidR="00987F06">
        <w:t>'</w:t>
      </w:r>
      <w:r w:rsidR="004D510F">
        <w:t xml:space="preserve"> </w:t>
      </w:r>
      <w:r w:rsidR="00987F06">
        <w:t>'</w:t>
      </w:r>
      <w:r w:rsidR="004D510F">
        <w:t>ograničenja</w:t>
      </w:r>
      <w:r w:rsidR="00987F06">
        <w:t>'</w:t>
      </w:r>
      <w:r w:rsidR="004D510F">
        <w:t xml:space="preserve"> ili </w:t>
      </w:r>
      <w:r w:rsidR="00987F06">
        <w:t>'</w:t>
      </w:r>
      <w:r w:rsidR="004D510F">
        <w:t>kazne</w:t>
      </w:r>
      <w:r w:rsidR="00987F06">
        <w:t>'</w:t>
      </w:r>
      <w:r w:rsidR="006A0429" w:rsidRPr="009027A1">
        <w:t xml:space="preserve"> </w:t>
      </w:r>
      <w:r w:rsidR="004D510F">
        <w:t xml:space="preserve">koji su namijenjeni da </w:t>
      </w:r>
      <w:r w:rsidR="00C933DB">
        <w:t>te uslove</w:t>
      </w:r>
      <w:r w:rsidR="004D510F">
        <w:t xml:space="preserve"> zadovolje</w:t>
      </w:r>
      <w:r w:rsidR="006A0429">
        <w:t>“.</w:t>
      </w:r>
    </w:p>
    <w:p w:rsidR="006D5BC6" w:rsidRPr="00E12353" w:rsidRDefault="006D5BC6" w:rsidP="00A40DDA">
      <w:pPr>
        <w:jc w:val="both"/>
      </w:pPr>
    </w:p>
    <w:p w:rsidR="006D5BC6" w:rsidRDefault="00C933DB" w:rsidP="00A40DDA">
      <w:pPr>
        <w:spacing w:after="0"/>
        <w:jc w:val="both"/>
      </w:pPr>
      <w:r>
        <w:lastRenderedPageBreak/>
        <w:t xml:space="preserve">Uzimajući u obzir novčanu kaznu određenu umjetnicima i oduzimanje slika, </w:t>
      </w:r>
      <w:r w:rsidR="006A0429" w:rsidRPr="006A0429">
        <w:t>Su</w:t>
      </w:r>
      <w:r w:rsidR="006A0429">
        <w:t xml:space="preserve">d je smatrao da je na slikama </w:t>
      </w:r>
      <w:r>
        <w:t xml:space="preserve">na grub način </w:t>
      </w:r>
      <w:r w:rsidR="006A0429">
        <w:t>prikazana seksualnost</w:t>
      </w:r>
      <w:r w:rsidR="006A0429" w:rsidRPr="006A0429">
        <w:t>, posebno između muškaraca i životinj</w:t>
      </w:r>
      <w:r w:rsidR="006A0429">
        <w:t xml:space="preserve">a, </w:t>
      </w:r>
      <w:r w:rsidR="00987F06">
        <w:t>pri čemu</w:t>
      </w:r>
      <w:r w:rsidR="006A0429">
        <w:t xml:space="preserve"> je </w:t>
      </w:r>
      <w:r w:rsidR="006A0429" w:rsidRPr="006A0429">
        <w:t>izložba</w:t>
      </w:r>
      <w:r>
        <w:t>,</w:t>
      </w:r>
      <w:r w:rsidR="006A0429" w:rsidRPr="006A0429">
        <w:t xml:space="preserve"> </w:t>
      </w:r>
      <w:r w:rsidR="006A0429">
        <w:t xml:space="preserve">čiji </w:t>
      </w:r>
      <w:r w:rsidR="0036132B">
        <w:t xml:space="preserve">su </w:t>
      </w:r>
      <w:r w:rsidR="006A0429">
        <w:t>dio bile ove slike</w:t>
      </w:r>
      <w:r>
        <w:t>,</w:t>
      </w:r>
      <w:r w:rsidR="006A0429">
        <w:t xml:space="preserve"> bila</w:t>
      </w:r>
      <w:r w:rsidR="006A0429" w:rsidRPr="006A0429">
        <w:t xml:space="preserve"> </w:t>
      </w:r>
      <w:r w:rsidR="006A0429">
        <w:t xml:space="preserve">potpuno </w:t>
      </w:r>
      <w:r w:rsidR="006A0429" w:rsidRPr="006A0429">
        <w:t>otvoren</w:t>
      </w:r>
      <w:r w:rsidR="006A0429">
        <w:t>a za javnost</w:t>
      </w:r>
      <w:r w:rsidR="006A0429" w:rsidRPr="006A0429">
        <w:t>,</w:t>
      </w:r>
      <w:r w:rsidR="0036132B">
        <w:t xml:space="preserve"> a ulaz besplatan</w:t>
      </w:r>
      <w:r w:rsidR="006A0429" w:rsidRPr="006A0429">
        <w:t>. Iako</w:t>
      </w:r>
      <w:r w:rsidR="006A0429">
        <w:t xml:space="preserve"> je </w:t>
      </w:r>
      <w:r w:rsidR="006A0429" w:rsidRPr="006A0429">
        <w:t>Sud pri</w:t>
      </w:r>
      <w:r w:rsidR="00987F06">
        <w:t>hvatio</w:t>
      </w:r>
      <w:r w:rsidR="006A0429" w:rsidRPr="006A0429">
        <w:t xml:space="preserve"> da su </w:t>
      </w:r>
      <w:r w:rsidR="006A0429">
        <w:t>se koncepti seksualnog morala</w:t>
      </w:r>
      <w:r w:rsidR="006A0429" w:rsidRPr="006A0429">
        <w:t xml:space="preserve"> </w:t>
      </w:r>
      <w:r w:rsidR="00987F06">
        <w:t xml:space="preserve">s </w:t>
      </w:r>
      <w:r w:rsidR="006A0429">
        <w:t xml:space="preserve">vremenom </w:t>
      </w:r>
      <w:r w:rsidR="006A0429" w:rsidRPr="006A0429">
        <w:t>prom</w:t>
      </w:r>
      <w:r w:rsidR="006A0429">
        <w:t>ijenili,</w:t>
      </w:r>
      <w:r w:rsidR="006A0429" w:rsidRPr="006A0429">
        <w:t xml:space="preserve"> </w:t>
      </w:r>
      <w:r w:rsidR="006A0429">
        <w:t xml:space="preserve">takođe je </w:t>
      </w:r>
      <w:r w:rsidR="006A0429" w:rsidRPr="006A0429">
        <w:t>smatrao da</w:t>
      </w:r>
      <w:r w:rsidR="00811E94">
        <w:t xml:space="preserve"> je</w:t>
      </w:r>
      <w:r w:rsidR="006A0429" w:rsidRPr="006A0429">
        <w:t xml:space="preserve"> </w:t>
      </w:r>
      <w:r w:rsidR="00811E94">
        <w:t xml:space="preserve">stav </w:t>
      </w:r>
      <w:r w:rsidR="00811E94" w:rsidRPr="006A0429">
        <w:t>švajcarskih sudova da</w:t>
      </w:r>
      <w:r w:rsidR="00811E94">
        <w:t xml:space="preserve"> su slike „u </w:t>
      </w:r>
      <w:r w:rsidR="00EB091F">
        <w:t>velikoj</w:t>
      </w:r>
      <w:r w:rsidR="00811E94">
        <w:t xml:space="preserve"> mjeri odgovorne za povredu osjećaja pri</w:t>
      </w:r>
      <w:r w:rsidR="00EB091F">
        <w:t>stojnosti</w:t>
      </w:r>
      <w:r w:rsidR="00811E94">
        <w:t xml:space="preserve"> ljudi normalne osjetljivosti“ bio</w:t>
      </w:r>
      <w:r w:rsidR="006A0429" w:rsidRPr="006A0429">
        <w:t xml:space="preserve"> razum</w:t>
      </w:r>
      <w:r w:rsidR="006A0429">
        <w:t>a</w:t>
      </w:r>
      <w:r w:rsidR="006A0429" w:rsidRPr="006A0429">
        <w:t>n i u granicama slobodne proc</w:t>
      </w:r>
      <w:r w:rsidR="006A0429">
        <w:t>j</w:t>
      </w:r>
      <w:r w:rsidR="00811E94">
        <w:t>ene.</w:t>
      </w:r>
    </w:p>
    <w:p w:rsidR="00A40DDA" w:rsidRPr="00E12353" w:rsidRDefault="00A40DDA" w:rsidP="00A40DDA">
      <w:pPr>
        <w:spacing w:after="0"/>
        <w:jc w:val="both"/>
      </w:pPr>
    </w:p>
    <w:p w:rsidR="004D510F" w:rsidRDefault="004D510F" w:rsidP="006D5BC6">
      <w:pPr>
        <w:spacing w:after="0"/>
        <w:jc w:val="both"/>
      </w:pPr>
      <w:r w:rsidRPr="004D510F">
        <w:t>Što se ti</w:t>
      </w:r>
      <w:r>
        <w:t>če privremenog oduzimanja slika</w:t>
      </w:r>
      <w:r w:rsidRPr="004D510F">
        <w:t>,</w:t>
      </w:r>
      <w:r>
        <w:t xml:space="preserve"> </w:t>
      </w:r>
      <w:r w:rsidRPr="004D510F">
        <w:t xml:space="preserve">Sud je smatrao da je uobičajena praksa širom Evrope </w:t>
      </w:r>
      <w:r w:rsidR="004C3393">
        <w:t xml:space="preserve">da se </w:t>
      </w:r>
      <w:r w:rsidRPr="004D510F">
        <w:t>omoguć</w:t>
      </w:r>
      <w:r>
        <w:t>i</w:t>
      </w:r>
      <w:r w:rsidRPr="004D510F">
        <w:t xml:space="preserve"> oduz</w:t>
      </w:r>
      <w:r>
        <w:t xml:space="preserve">imanje predmeta čija upotreba </w:t>
      </w:r>
      <w:r w:rsidR="004C3393">
        <w:t xml:space="preserve">je </w:t>
      </w:r>
      <w:r>
        <w:t>„zakonito dosuđena kao zabranjena i opas</w:t>
      </w:r>
      <w:r w:rsidRPr="004D510F">
        <w:t>n</w:t>
      </w:r>
      <w:r>
        <w:t>a</w:t>
      </w:r>
      <w:r w:rsidRPr="004D510F">
        <w:t xml:space="preserve"> </w:t>
      </w:r>
      <w:r>
        <w:t xml:space="preserve">po </w:t>
      </w:r>
      <w:r w:rsidRPr="004D510F">
        <w:t>opšt</w:t>
      </w:r>
      <w:r>
        <w:t>i</w:t>
      </w:r>
      <w:r w:rsidRPr="004D510F">
        <w:t xml:space="preserve"> interes". S obzirom da je </w:t>
      </w:r>
      <w:r>
        <w:t>svrha privremenog oduzimanja bila</w:t>
      </w:r>
      <w:r w:rsidRPr="004D510F">
        <w:t xml:space="preserve"> da se spr</w:t>
      </w:r>
      <w:r>
        <w:t>ij</w:t>
      </w:r>
      <w:r w:rsidRPr="004D510F">
        <w:t>eči ponavljanje krivičnog d</w:t>
      </w:r>
      <w:r>
        <w:t>j</w:t>
      </w:r>
      <w:r w:rsidRPr="004D510F">
        <w:t>el</w:t>
      </w:r>
      <w:r>
        <w:t>a, i</w:t>
      </w:r>
      <w:r w:rsidRPr="004D510F">
        <w:t xml:space="preserve"> da su slike</w:t>
      </w:r>
      <w:r>
        <w:t xml:space="preserve"> kasnije vraćene</w:t>
      </w:r>
      <w:r w:rsidRPr="004D510F">
        <w:t>,</w:t>
      </w:r>
      <w:r>
        <w:t xml:space="preserve"> </w:t>
      </w:r>
      <w:r w:rsidRPr="004D510F">
        <w:t xml:space="preserve">Sud </w:t>
      </w:r>
      <w:r>
        <w:t>je smatrao da time nije prekršeno</w:t>
      </w:r>
      <w:r w:rsidRPr="004D510F">
        <w:t xml:space="preserve"> </w:t>
      </w:r>
      <w:r>
        <w:t>pravo</w:t>
      </w:r>
      <w:r w:rsidRPr="004D510F">
        <w:t xml:space="preserve"> na slobodu izražavanja.</w:t>
      </w:r>
    </w:p>
    <w:p w:rsidR="006D5BC6" w:rsidRPr="00E12353" w:rsidRDefault="006D5BC6" w:rsidP="006D5BC6">
      <w:pPr>
        <w:spacing w:after="0"/>
        <w:jc w:val="both"/>
      </w:pPr>
    </w:p>
    <w:p w:rsidR="006D5BC6" w:rsidRPr="00E12353" w:rsidRDefault="006D5BC6" w:rsidP="00E338D0">
      <w:pPr>
        <w:pStyle w:val="ListParagraph"/>
        <w:numPr>
          <w:ilvl w:val="0"/>
          <w:numId w:val="24"/>
        </w:numPr>
        <w:spacing w:after="0"/>
        <w:jc w:val="both"/>
      </w:pPr>
      <w:r w:rsidRPr="00E05522">
        <w:rPr>
          <w:b/>
          <w:i/>
        </w:rPr>
        <w:t xml:space="preserve">Vereinigung Bildender Künstler </w:t>
      </w:r>
      <w:r w:rsidR="004D510F" w:rsidRPr="00E05522">
        <w:rPr>
          <w:b/>
          <w:i/>
        </w:rPr>
        <w:t>protiv</w:t>
      </w:r>
      <w:r w:rsidRPr="00E05522">
        <w:rPr>
          <w:b/>
          <w:i/>
        </w:rPr>
        <w:t xml:space="preserve"> Austri</w:t>
      </w:r>
      <w:r w:rsidR="004D510F" w:rsidRPr="00E05522">
        <w:rPr>
          <w:b/>
          <w:i/>
        </w:rPr>
        <w:t>je</w:t>
      </w:r>
      <w:r w:rsidRPr="00E12353">
        <w:t xml:space="preserve"> (</w:t>
      </w:r>
      <w:r w:rsidR="004D510F">
        <w:t>predstavka</w:t>
      </w:r>
      <w:r w:rsidRPr="00E12353">
        <w:t xml:space="preserve"> </w:t>
      </w:r>
      <w:r w:rsidR="004D510F">
        <w:t>br</w:t>
      </w:r>
      <w:r w:rsidRPr="00E12353">
        <w:t>. 68354/01), 25</w:t>
      </w:r>
      <w:r w:rsidR="004D510F">
        <w:t>.</w:t>
      </w:r>
      <w:r w:rsidRPr="00E12353">
        <w:t xml:space="preserve"> </w:t>
      </w:r>
      <w:r w:rsidR="004D510F">
        <w:t>januar</w:t>
      </w:r>
      <w:r w:rsidRPr="00E12353">
        <w:t xml:space="preserve"> 2007</w:t>
      </w:r>
      <w:r w:rsidR="004D510F">
        <w:t>:</w:t>
      </w:r>
      <w:r w:rsidRPr="00E12353">
        <w:t xml:space="preserve"> </w:t>
      </w:r>
      <w:r w:rsidR="004D510F" w:rsidRPr="004D510F">
        <w:rPr>
          <w:highlight w:val="yellow"/>
        </w:rPr>
        <w:t xml:space="preserve">trajna zabrana izlaganja slike na kojoj je prikazan političar u seksualno eksplicitnoj karikaturi prekršila je pravo na slobodu izražavanja </w:t>
      </w:r>
    </w:p>
    <w:p w:rsidR="006D5BC6" w:rsidRPr="00E12353" w:rsidRDefault="006D5BC6" w:rsidP="006D5BC6">
      <w:pPr>
        <w:pStyle w:val="ListParagraph"/>
        <w:spacing w:after="0"/>
        <w:ind w:left="0"/>
      </w:pPr>
    </w:p>
    <w:p w:rsidR="004D510F" w:rsidRDefault="004D510F" w:rsidP="006D5BC6">
      <w:pPr>
        <w:jc w:val="both"/>
      </w:pPr>
      <w:r>
        <w:t>Slučaj se ticao novčane kazne</w:t>
      </w:r>
      <w:r w:rsidRPr="004D510F">
        <w:t xml:space="preserve"> i </w:t>
      </w:r>
      <w:r>
        <w:t>uklanjanja sa javnih izložbi slike pod nazivom „</w:t>
      </w:r>
      <w:r w:rsidRPr="004D510F">
        <w:t>Apokalipsa</w:t>
      </w:r>
      <w:r>
        <w:t>“</w:t>
      </w:r>
      <w:r w:rsidR="00811E94">
        <w:t xml:space="preserve"> –</w:t>
      </w:r>
      <w:r>
        <w:t xml:space="preserve"> kolaž</w:t>
      </w:r>
      <w:r w:rsidR="00811E94">
        <w:t xml:space="preserve">a </w:t>
      </w:r>
      <w:r>
        <w:t>od 34 javne</w:t>
      </w:r>
      <w:r w:rsidRPr="004D510F">
        <w:t xml:space="preserve"> ličnosti</w:t>
      </w:r>
      <w:r w:rsidR="00EB091F">
        <w:t xml:space="preserve">, </w:t>
      </w:r>
      <w:r w:rsidRPr="004D510F">
        <w:t>uključ</w:t>
      </w:r>
      <w:r w:rsidR="00EB091F">
        <w:t>ujući</w:t>
      </w:r>
      <w:r w:rsidRPr="004D510F">
        <w:t xml:space="preserve"> Majk</w:t>
      </w:r>
      <w:r>
        <w:t>u Terezu</w:t>
      </w:r>
      <w:r w:rsidRPr="004D510F">
        <w:t>, austrijsk</w:t>
      </w:r>
      <w:r>
        <w:t>og</w:t>
      </w:r>
      <w:r w:rsidRPr="004D510F">
        <w:t xml:space="preserve"> kardinal</w:t>
      </w:r>
      <w:r>
        <w:t>a</w:t>
      </w:r>
      <w:r w:rsidRPr="004D510F">
        <w:t xml:space="preserve"> Herman</w:t>
      </w:r>
      <w:r>
        <w:t>na</w:t>
      </w:r>
      <w:r w:rsidRPr="004D510F">
        <w:t xml:space="preserve"> Groer</w:t>
      </w:r>
      <w:r>
        <w:t>a</w:t>
      </w:r>
      <w:r w:rsidRPr="004D510F">
        <w:t xml:space="preserve"> i bivšeg šefa a</w:t>
      </w:r>
      <w:r w:rsidR="002F1B5B">
        <w:t>ustrijske Slobodarske stranke Jorga Hai</w:t>
      </w:r>
      <w:r w:rsidRPr="004D510F">
        <w:t xml:space="preserve">dera </w:t>
      </w:r>
      <w:r w:rsidR="002F1B5B">
        <w:t>–</w:t>
      </w:r>
      <w:r w:rsidRPr="004D510F">
        <w:t xml:space="preserve"> </w:t>
      </w:r>
      <w:r w:rsidR="002F1B5B">
        <w:t xml:space="preserve">u kojem su svi prikazani </w:t>
      </w:r>
      <w:r w:rsidR="004C3393">
        <w:t>nagi</w:t>
      </w:r>
      <w:r w:rsidRPr="004D510F">
        <w:t xml:space="preserve"> i uključeni u seksualne aktivnosti. T</w:t>
      </w:r>
      <w:r w:rsidR="002F1B5B">
        <w:t>ij</w:t>
      </w:r>
      <w:r w:rsidRPr="004D510F">
        <w:t xml:space="preserve">ela tih figura </w:t>
      </w:r>
      <w:r w:rsidR="002F1B5B">
        <w:t>su naslikana</w:t>
      </w:r>
      <w:r w:rsidR="0036132B">
        <w:t>,</w:t>
      </w:r>
      <w:r w:rsidRPr="004D510F">
        <w:t xml:space="preserve"> ali </w:t>
      </w:r>
      <w:r w:rsidR="0036132B">
        <w:t xml:space="preserve">su </w:t>
      </w:r>
      <w:r w:rsidR="002F1B5B">
        <w:t xml:space="preserve">za </w:t>
      </w:r>
      <w:r w:rsidRPr="004D510F">
        <w:t>glav</w:t>
      </w:r>
      <w:r w:rsidR="002F1B5B">
        <w:t>e i lica korištene</w:t>
      </w:r>
      <w:r w:rsidRPr="004D510F">
        <w:t xml:space="preserve"> fotografije iz novina, </w:t>
      </w:r>
      <w:r w:rsidR="00811E94">
        <w:t>dok su</w:t>
      </w:r>
      <w:r w:rsidR="002F1B5B">
        <w:t xml:space="preserve"> </w:t>
      </w:r>
      <w:r w:rsidRPr="004D510F">
        <w:t>oči neki</w:t>
      </w:r>
      <w:r w:rsidR="002F1B5B">
        <w:t>h od njih bile sakrivene crnim trakama</w:t>
      </w:r>
      <w:r w:rsidRPr="004D510F">
        <w:t xml:space="preserve">. Među </w:t>
      </w:r>
      <w:r w:rsidR="002F1B5B">
        <w:t>naslikanim osobama bio je i gospodin Meischberger</w:t>
      </w:r>
      <w:r w:rsidRPr="004D510F">
        <w:t>,</w:t>
      </w:r>
      <w:r w:rsidR="002F1B5B">
        <w:t xml:space="preserve"> </w:t>
      </w:r>
      <w:r w:rsidRPr="004D510F">
        <w:t>bivši generalni sekretar austrijske Slobodarske stranke</w:t>
      </w:r>
      <w:r w:rsidR="002F1B5B">
        <w:t>, koji je prikazan u seksualnoj</w:t>
      </w:r>
      <w:r w:rsidRPr="004D510F">
        <w:t xml:space="preserve"> poz</w:t>
      </w:r>
      <w:r w:rsidR="002F1B5B">
        <w:t>i sa gospodinom Hai</w:t>
      </w:r>
      <w:r w:rsidRPr="004D510F">
        <w:t>der</w:t>
      </w:r>
      <w:r w:rsidR="002F1B5B">
        <w:t>om, druga dva političara i Majkom</w:t>
      </w:r>
      <w:r w:rsidRPr="004D510F">
        <w:t xml:space="preserve"> Terez</w:t>
      </w:r>
      <w:r w:rsidR="002F1B5B">
        <w:t xml:space="preserve">om. Slika je bila </w:t>
      </w:r>
      <w:r w:rsidRPr="004D510F">
        <w:t>d</w:t>
      </w:r>
      <w:r w:rsidR="002F1B5B">
        <w:t>i</w:t>
      </w:r>
      <w:r w:rsidRPr="004D510F">
        <w:t>o izložbe  udruženja austrijskih um</w:t>
      </w:r>
      <w:r w:rsidR="002F1B5B">
        <w:t>j</w:t>
      </w:r>
      <w:r w:rsidRPr="004D510F">
        <w:t xml:space="preserve">etnika. Gospodin Meischberger </w:t>
      </w:r>
      <w:r w:rsidR="002F1B5B">
        <w:t xml:space="preserve">je </w:t>
      </w:r>
      <w:r w:rsidRPr="004D510F">
        <w:t>tužio um</w:t>
      </w:r>
      <w:r w:rsidR="002F1B5B">
        <w:t>jetnike i dobio</w:t>
      </w:r>
      <w:r w:rsidRPr="004D510F">
        <w:t xml:space="preserve"> presudu </w:t>
      </w:r>
      <w:r w:rsidR="002F1B5B">
        <w:t>kojom se trajno zabranjuje</w:t>
      </w:r>
      <w:r w:rsidRPr="004D510F">
        <w:t xml:space="preserve"> prikaz</w:t>
      </w:r>
      <w:r w:rsidR="002F1B5B">
        <w:t>ivanje</w:t>
      </w:r>
      <w:r w:rsidRPr="004D510F">
        <w:t xml:space="preserve"> slike na osnovu toga </w:t>
      </w:r>
      <w:r w:rsidR="00EB091F">
        <w:t>što</w:t>
      </w:r>
      <w:r w:rsidRPr="004D510F">
        <w:t xml:space="preserve"> </w:t>
      </w:r>
      <w:r w:rsidR="002F1B5B">
        <w:t xml:space="preserve">ponižava </w:t>
      </w:r>
      <w:r w:rsidRPr="004D510F">
        <w:t>njega i njegove političke aktivnosti. Udruženje um</w:t>
      </w:r>
      <w:r w:rsidR="002F1B5B">
        <w:t>j</w:t>
      </w:r>
      <w:r w:rsidRPr="004D510F">
        <w:t xml:space="preserve">etnika </w:t>
      </w:r>
      <w:r w:rsidR="002F1B5B">
        <w:t>je zatim podnijelo</w:t>
      </w:r>
      <w:r w:rsidRPr="004D510F">
        <w:t xml:space="preserve"> </w:t>
      </w:r>
      <w:r w:rsidR="002F1B5B">
        <w:t xml:space="preserve">predstavku </w:t>
      </w:r>
      <w:r w:rsidRPr="004D510F">
        <w:t>Evropskom sudu za ljudska prava.</w:t>
      </w:r>
    </w:p>
    <w:p w:rsidR="002F1B5B" w:rsidRDefault="002F1B5B" w:rsidP="006D5BC6">
      <w:pPr>
        <w:spacing w:after="0"/>
        <w:jc w:val="both"/>
      </w:pPr>
      <w:r>
        <w:t xml:space="preserve">Evropski sud je smatrao da su novčana kazna i zabrana prekršili pravo udruženja na slobodu izražavanja. </w:t>
      </w:r>
      <w:r w:rsidR="006A17DC">
        <w:t>Mada</w:t>
      </w:r>
      <w:r>
        <w:t xml:space="preserve"> je Sud konstatovao da je na slici </w:t>
      </w:r>
      <w:r w:rsidR="002022BD">
        <w:t xml:space="preserve">na nepristojan način </w:t>
      </w:r>
      <w:r>
        <w:t xml:space="preserve">prikazan gospodin Meischberger, bilo je jasno da </w:t>
      </w:r>
      <w:r w:rsidR="006A17DC">
        <w:t>su naslikani likovi karikature</w:t>
      </w:r>
      <w:r w:rsidR="00EB091F">
        <w:t>,</w:t>
      </w:r>
      <w:r w:rsidR="006A17DC">
        <w:t xml:space="preserve"> a </w:t>
      </w:r>
      <w:r>
        <w:t xml:space="preserve">slika </w:t>
      </w:r>
      <w:r w:rsidR="006A17DC">
        <w:t>satirič</w:t>
      </w:r>
      <w:r>
        <w:t>n</w:t>
      </w:r>
      <w:r w:rsidR="006A17DC">
        <w:t>a</w:t>
      </w:r>
      <w:r>
        <w:t>.</w:t>
      </w:r>
      <w:r w:rsidR="006A17DC">
        <w:t xml:space="preserve"> Sud je naglasio da je satira </w:t>
      </w:r>
      <w:r>
        <w:t>oblik um</w:t>
      </w:r>
      <w:r w:rsidR="006A17DC">
        <w:t>jetničkog izražavanja i socijalnog koment</w:t>
      </w:r>
      <w:r w:rsidR="002022BD">
        <w:t>a</w:t>
      </w:r>
      <w:r>
        <w:t>r</w:t>
      </w:r>
      <w:r w:rsidR="006A17DC">
        <w:t>a</w:t>
      </w:r>
      <w:r>
        <w:t xml:space="preserve"> koji </w:t>
      </w:r>
      <w:r w:rsidR="006A17DC">
        <w:t>je</w:t>
      </w:r>
      <w:r>
        <w:t xml:space="preserve">, </w:t>
      </w:r>
      <w:r w:rsidR="006A17DC">
        <w:t>pretjerivanjem</w:t>
      </w:r>
      <w:r>
        <w:t xml:space="preserve"> i </w:t>
      </w:r>
      <w:r w:rsidR="006A17DC">
        <w:t>krivljenjem</w:t>
      </w:r>
      <w:r>
        <w:t xml:space="preserve"> stvarnosti, nam</w:t>
      </w:r>
      <w:r w:rsidR="006A17DC">
        <w:t>jerno provokativan</w:t>
      </w:r>
      <w:r>
        <w:t xml:space="preserve"> i političke prirode</w:t>
      </w:r>
      <w:r w:rsidR="006A17DC">
        <w:t>. Kao takav</w:t>
      </w:r>
      <w:r>
        <w:t xml:space="preserve">, </w:t>
      </w:r>
      <w:r w:rsidR="006A17DC">
        <w:t xml:space="preserve">njegova </w:t>
      </w:r>
      <w:r>
        <w:t>ograničenja bi trebalo</w:t>
      </w:r>
      <w:r w:rsidR="006A17DC">
        <w:t xml:space="preserve"> razmatrati</w:t>
      </w:r>
      <w:r>
        <w:t xml:space="preserve"> posebno </w:t>
      </w:r>
      <w:r w:rsidR="00EB091F">
        <w:t>oprezno</w:t>
      </w:r>
      <w:r>
        <w:t xml:space="preserve">. Gospodin Meischberger </w:t>
      </w:r>
      <w:r w:rsidR="006A17DC">
        <w:t>je</w:t>
      </w:r>
      <w:r>
        <w:t xml:space="preserve"> </w:t>
      </w:r>
      <w:r w:rsidR="006A17DC">
        <w:t>na slici prikazan</w:t>
      </w:r>
      <w:r>
        <w:t xml:space="preserve"> u kontekstu njegovog p</w:t>
      </w:r>
      <w:r w:rsidR="006A17DC">
        <w:t>olitičkog rada i funkcionisanja</w:t>
      </w:r>
      <w:r>
        <w:t>, a</w:t>
      </w:r>
      <w:r w:rsidR="006A17DC">
        <w:t xml:space="preserve"> </w:t>
      </w:r>
      <w:r>
        <w:t>slika se može posmatrati</w:t>
      </w:r>
      <w:r w:rsidR="006A17DC">
        <w:t xml:space="preserve"> i </w:t>
      </w:r>
      <w:r>
        <w:t xml:space="preserve">kao reakcija protiv austrijske Slobodarske stranke, čiji članovi </w:t>
      </w:r>
      <w:r w:rsidR="006A17DC">
        <w:t xml:space="preserve">su i ranije kritikovali </w:t>
      </w:r>
      <w:r>
        <w:t>um</w:t>
      </w:r>
      <w:r w:rsidR="00811E94">
        <w:t>j</w:t>
      </w:r>
      <w:r>
        <w:t xml:space="preserve">etnikov rad. Meischberger </w:t>
      </w:r>
      <w:r w:rsidR="006A17DC">
        <w:t>je od naslikanih likova bio najmanje istaknut</w:t>
      </w:r>
      <w:r>
        <w:t xml:space="preserve"> </w:t>
      </w:r>
      <w:r w:rsidR="006A17DC">
        <w:t>–</w:t>
      </w:r>
      <w:r>
        <w:t xml:space="preserve"> i</w:t>
      </w:r>
      <w:r w:rsidR="006A17DC">
        <w:t xml:space="preserve"> u vrijeme kada je tužio umjetnika</w:t>
      </w:r>
      <w:r>
        <w:t xml:space="preserve">, on nije bio prepoznatljiv </w:t>
      </w:r>
      <w:r w:rsidR="00BC7929">
        <w:t>na slici jer je n</w:t>
      </w:r>
      <w:r>
        <w:t>jegova fotografija</w:t>
      </w:r>
      <w:r w:rsidR="00BC7929">
        <w:t xml:space="preserve"> bila</w:t>
      </w:r>
      <w:r>
        <w:t xml:space="preserve"> prekriven</w:t>
      </w:r>
      <w:r w:rsidR="00BC7929">
        <w:t>a</w:t>
      </w:r>
      <w:r>
        <w:t xml:space="preserve"> crvenom bojom. Sud je takođe uzeo u obzir da</w:t>
      </w:r>
      <w:r w:rsidR="00BC7929">
        <w:t xml:space="preserve"> je </w:t>
      </w:r>
      <w:r>
        <w:t xml:space="preserve">zabrana austrijskih sudova bila neograničena i </w:t>
      </w:r>
      <w:r w:rsidR="00BC7929">
        <w:t>da udruženju, koje</w:t>
      </w:r>
      <w:r>
        <w:t xml:space="preserve"> </w:t>
      </w:r>
      <w:r w:rsidR="00BC7929">
        <w:t>upravlja jed</w:t>
      </w:r>
      <w:r>
        <w:t>n</w:t>
      </w:r>
      <w:r w:rsidR="00BC7929">
        <w:t>om</w:t>
      </w:r>
      <w:r>
        <w:t xml:space="preserve"> od najpoznatijih </w:t>
      </w:r>
      <w:r w:rsidR="00BC7929">
        <w:t xml:space="preserve">austrijskih </w:t>
      </w:r>
      <w:r>
        <w:t>savremenih um</w:t>
      </w:r>
      <w:r w:rsidR="00BC7929">
        <w:t>j</w:t>
      </w:r>
      <w:r>
        <w:t>etničkih galerija</w:t>
      </w:r>
      <w:r w:rsidR="00BC7929">
        <w:t>,</w:t>
      </w:r>
      <w:r>
        <w:t xml:space="preserve"> </w:t>
      </w:r>
      <w:r w:rsidR="00811E94">
        <w:t>nije omogućeno</w:t>
      </w:r>
      <w:r>
        <w:t xml:space="preserve"> </w:t>
      </w:r>
      <w:r w:rsidR="00BC7929">
        <w:t>da ikada ponovo izloži sliku</w:t>
      </w:r>
      <w:r>
        <w:t xml:space="preserve">, bez obzira na to da li </w:t>
      </w:r>
      <w:r w:rsidR="00BC7929">
        <w:t>je gospodin Meischberger javna ličnost</w:t>
      </w:r>
      <w:r w:rsidR="009F2824">
        <w:t>, ili bi</w:t>
      </w:r>
      <w:r>
        <w:t xml:space="preserve"> </w:t>
      </w:r>
      <w:r w:rsidR="00BC7929">
        <w:t>bio javna li</w:t>
      </w:r>
      <w:r w:rsidR="00782118">
        <w:t>č</w:t>
      </w:r>
      <w:r w:rsidR="00BC7929">
        <w:t>nost u</w:t>
      </w:r>
      <w:r>
        <w:t xml:space="preserve"> m</w:t>
      </w:r>
      <w:r w:rsidR="00BC7929">
        <w:t>j</w:t>
      </w:r>
      <w:r>
        <w:t>estu i vremenu pote</w:t>
      </w:r>
      <w:r w:rsidR="00BC7929">
        <w:t>ncijalne</w:t>
      </w:r>
      <w:r w:rsidR="00C77DFF">
        <w:t xml:space="preserve"> izložbe u budućnosti</w:t>
      </w:r>
      <w:r>
        <w:t>.</w:t>
      </w:r>
    </w:p>
    <w:p w:rsidR="006D5BC6" w:rsidRPr="00E12353" w:rsidRDefault="006D5BC6" w:rsidP="006D5BC6">
      <w:pPr>
        <w:spacing w:after="0"/>
        <w:jc w:val="both"/>
      </w:pPr>
    </w:p>
    <w:p w:rsidR="006D5BC6" w:rsidRPr="00E12353" w:rsidRDefault="006D5BC6" w:rsidP="00E338D0">
      <w:pPr>
        <w:pStyle w:val="ListParagraph"/>
        <w:numPr>
          <w:ilvl w:val="0"/>
          <w:numId w:val="24"/>
        </w:numPr>
        <w:jc w:val="both"/>
      </w:pPr>
      <w:r w:rsidRPr="00E05522">
        <w:rPr>
          <w:b/>
          <w:i/>
        </w:rPr>
        <w:t xml:space="preserve">Akdaş </w:t>
      </w:r>
      <w:r w:rsidR="00BC7929" w:rsidRPr="00E05522">
        <w:rPr>
          <w:b/>
          <w:i/>
        </w:rPr>
        <w:t>protiv</w:t>
      </w:r>
      <w:r w:rsidRPr="00E05522">
        <w:rPr>
          <w:b/>
          <w:i/>
        </w:rPr>
        <w:t xml:space="preserve"> Tur</w:t>
      </w:r>
      <w:r w:rsidR="00BC7929" w:rsidRPr="00E05522">
        <w:rPr>
          <w:b/>
          <w:i/>
        </w:rPr>
        <w:t>ske</w:t>
      </w:r>
      <w:r w:rsidRPr="00E12353">
        <w:t xml:space="preserve"> (</w:t>
      </w:r>
      <w:r w:rsidR="00BC7929">
        <w:t>predstavka</w:t>
      </w:r>
      <w:r w:rsidRPr="00E12353">
        <w:t xml:space="preserve"> </w:t>
      </w:r>
      <w:r w:rsidR="00BC7929">
        <w:t>br</w:t>
      </w:r>
      <w:r w:rsidRPr="00E12353">
        <w:t>. 41056/04), 16</w:t>
      </w:r>
      <w:r w:rsidR="00BC7929">
        <w:t>.</w:t>
      </w:r>
      <w:r w:rsidRPr="00E12353">
        <w:t xml:space="preserve"> </w:t>
      </w:r>
      <w:r w:rsidR="00BC7929">
        <w:t>f</w:t>
      </w:r>
      <w:r w:rsidRPr="00E12353">
        <w:t>ebruar 2010</w:t>
      </w:r>
      <w:r w:rsidR="00BC7929">
        <w:t>:</w:t>
      </w:r>
      <w:r w:rsidRPr="00E12353">
        <w:t xml:space="preserve"> </w:t>
      </w:r>
      <w:r w:rsidR="00BC7929" w:rsidRPr="00874D3F">
        <w:rPr>
          <w:highlight w:val="yellow"/>
        </w:rPr>
        <w:t xml:space="preserve">zabrana prevoda klasičnog književnog djela koje je sadržalo </w:t>
      </w:r>
      <w:r w:rsidR="00874D3F" w:rsidRPr="00874D3F">
        <w:rPr>
          <w:highlight w:val="yellow"/>
        </w:rPr>
        <w:t xml:space="preserve">grafičke </w:t>
      </w:r>
      <w:r w:rsidR="00BC7929" w:rsidRPr="00874D3F">
        <w:rPr>
          <w:highlight w:val="yellow"/>
        </w:rPr>
        <w:t xml:space="preserve">opise seksa </w:t>
      </w:r>
      <w:r w:rsidR="00874D3F" w:rsidRPr="00874D3F">
        <w:rPr>
          <w:highlight w:val="yellow"/>
        </w:rPr>
        <w:t>prekršila je</w:t>
      </w:r>
      <w:r w:rsidR="00BC7929" w:rsidRPr="00874D3F">
        <w:rPr>
          <w:highlight w:val="yellow"/>
        </w:rPr>
        <w:t xml:space="preserve"> pravo na slobodu izražavanja</w:t>
      </w:r>
    </w:p>
    <w:p w:rsidR="006D5BC6" w:rsidRPr="00E12353" w:rsidRDefault="006D5BC6" w:rsidP="00E338D0">
      <w:pPr>
        <w:pStyle w:val="ListParagraph"/>
        <w:spacing w:before="240"/>
        <w:ind w:left="0"/>
        <w:jc w:val="both"/>
      </w:pPr>
    </w:p>
    <w:p w:rsidR="00874D3F" w:rsidRDefault="00874D3F" w:rsidP="00E338D0">
      <w:pPr>
        <w:pStyle w:val="ListParagraph"/>
        <w:spacing w:before="240"/>
        <w:ind w:left="0"/>
        <w:jc w:val="both"/>
      </w:pPr>
      <w:r>
        <w:t>Podnosilac predstavke je turski izdavač koji je objavio turski prevod erotskog romana</w:t>
      </w:r>
      <w:r w:rsidRPr="00874D3F">
        <w:rPr>
          <w:i/>
        </w:rPr>
        <w:t xml:space="preserve"> „Les onze mille verges“</w:t>
      </w:r>
      <w:r>
        <w:t xml:space="preserve"> („Jedanaest hiljada šipki“) francuskog pisca Guillaumea Apollinairea. Knjiga je sadržala grafičke opise seksa, uključujući sadomazohizam, vampirizam i pedofiliju. Turski izdavač je krivično gonjen i osuđen zbog </w:t>
      </w:r>
      <w:r w:rsidR="00EB091F">
        <w:t xml:space="preserve">toga što je </w:t>
      </w:r>
      <w:r>
        <w:t>objav</w:t>
      </w:r>
      <w:r w:rsidR="00EB091F">
        <w:t>io</w:t>
      </w:r>
      <w:r>
        <w:t xml:space="preserve"> opsceni materijal </w:t>
      </w:r>
      <w:r w:rsidR="00917A96">
        <w:t>koji bi mog</w:t>
      </w:r>
      <w:r w:rsidR="00EB091F">
        <w:t>ao</w:t>
      </w:r>
      <w:r w:rsidR="00917A96">
        <w:t xml:space="preserve"> da pobud</w:t>
      </w:r>
      <w:r w:rsidR="00EB091F">
        <w:t>i</w:t>
      </w:r>
      <w:r w:rsidR="00917A96">
        <w:t xml:space="preserve"> </w:t>
      </w:r>
      <w:r>
        <w:t>seksualnu želju. On je kažnjen novčanom kaznom od 1100 eura. Izdavač se žalio Evropskom sudu z</w:t>
      </w:r>
      <w:r w:rsidR="0076769E">
        <w:t xml:space="preserve">a ljudska prava, tvrdeći da </w:t>
      </w:r>
      <w:r>
        <w:t xml:space="preserve">knjiga </w:t>
      </w:r>
      <w:r w:rsidR="0076769E">
        <w:t>koju su napisali književni stručnjaci ne sadrži nikak</w:t>
      </w:r>
      <w:r w:rsidR="005B2886">
        <w:t>av</w:t>
      </w:r>
      <w:r w:rsidR="0076769E">
        <w:t xml:space="preserve"> nasiln</w:t>
      </w:r>
      <w:r w:rsidR="005B2886">
        <w:t>i</w:t>
      </w:r>
      <w:r>
        <w:t xml:space="preserve"> </w:t>
      </w:r>
      <w:r w:rsidR="005B2886">
        <w:t>prizvuk, te</w:t>
      </w:r>
      <w:r w:rsidR="0076769E">
        <w:t xml:space="preserve"> da </w:t>
      </w:r>
      <w:r>
        <w:t>njen duhovit i pret</w:t>
      </w:r>
      <w:r w:rsidR="0076769E">
        <w:t>j</w:t>
      </w:r>
      <w:r>
        <w:t xml:space="preserve">eran ton </w:t>
      </w:r>
      <w:r w:rsidR="0076769E">
        <w:t>više</w:t>
      </w:r>
      <w:r>
        <w:t xml:space="preserve"> </w:t>
      </w:r>
      <w:r w:rsidR="0076769E">
        <w:t>gasi</w:t>
      </w:r>
      <w:r>
        <w:t xml:space="preserve"> seksualnu želju nego </w:t>
      </w:r>
      <w:r w:rsidR="0076769E">
        <w:t>što je budi</w:t>
      </w:r>
      <w:r>
        <w:t>.</w:t>
      </w:r>
    </w:p>
    <w:p w:rsidR="006D5BC6" w:rsidRDefault="006D5BC6" w:rsidP="006D5BC6">
      <w:pPr>
        <w:pStyle w:val="ListParagraph"/>
        <w:spacing w:before="240"/>
        <w:ind w:left="0"/>
      </w:pPr>
    </w:p>
    <w:p w:rsidR="0076769E" w:rsidRDefault="0076769E" w:rsidP="0076769E">
      <w:pPr>
        <w:pStyle w:val="ListParagraph"/>
        <w:spacing w:before="240"/>
        <w:ind w:left="0"/>
        <w:jc w:val="both"/>
      </w:pPr>
      <w:r>
        <w:t xml:space="preserve">Sud je smatrao da je osuda prekršila pravo na slobodu izražavanja. </w:t>
      </w:r>
      <w:r w:rsidR="008E21E7">
        <w:t>Iako je u presudi istaknuto da</w:t>
      </w:r>
      <w:r>
        <w:t xml:space="preserve"> uslovi za kvalifikaciju morala variraju</w:t>
      </w:r>
      <w:r w:rsidR="00EB091F">
        <w:t xml:space="preserve"> s</w:t>
      </w:r>
      <w:r>
        <w:t xml:space="preserve"> vremenom i od mjesta do mjesta</w:t>
      </w:r>
      <w:r w:rsidR="005B2886">
        <w:t xml:space="preserve"> </w:t>
      </w:r>
      <w:r w:rsidR="00A40DDA">
        <w:t>–</w:t>
      </w:r>
      <w:r w:rsidR="00EB091F">
        <w:t xml:space="preserve"> </w:t>
      </w:r>
      <w:r>
        <w:t>čak</w:t>
      </w:r>
      <w:r w:rsidR="00A40DDA">
        <w:t xml:space="preserve"> </w:t>
      </w:r>
      <w:r>
        <w:t>i unutar jedne zemlje,</w:t>
      </w:r>
      <w:r w:rsidR="008E21E7">
        <w:t xml:space="preserve"> te</w:t>
      </w:r>
      <w:r>
        <w:t xml:space="preserve"> da su nacionalne vlasti u boljoj poziciji da sude u ovim slučajevima od Evropskog suda, Sud je</w:t>
      </w:r>
      <w:r w:rsidR="00EB091F">
        <w:t xml:space="preserve"> ipak</w:t>
      </w:r>
      <w:r>
        <w:t xml:space="preserve"> </w:t>
      </w:r>
      <w:r w:rsidR="00EB091F">
        <w:t>naš</w:t>
      </w:r>
      <w:r>
        <w:t xml:space="preserve">ao da turske vlasti nijesu primijenile pravi standard. </w:t>
      </w:r>
      <w:r w:rsidR="008E21E7">
        <w:t>Original knjige na francuskom jeziku prvi put je objavljen 1907,</w:t>
      </w:r>
      <w:r w:rsidR="000C5C4C">
        <w:t xml:space="preserve"> nakon čega je objavljena i  </w:t>
      </w:r>
      <w:r>
        <w:t>na raznim</w:t>
      </w:r>
      <w:r w:rsidR="000C5C4C">
        <w:t xml:space="preserve"> drugim</w:t>
      </w:r>
      <w:r>
        <w:t xml:space="preserve"> jezicima i dobi</w:t>
      </w:r>
      <w:r w:rsidR="000C5C4C">
        <w:t>la</w:t>
      </w:r>
      <w:r>
        <w:t xml:space="preserve"> status „klasika“ ev</w:t>
      </w:r>
      <w:r w:rsidR="00A40DDA">
        <w:t>r</w:t>
      </w:r>
      <w:r>
        <w:t>opske književnosti. Nije postojala „hitn</w:t>
      </w:r>
      <w:r w:rsidR="009F2824">
        <w:t>a</w:t>
      </w:r>
      <w:r>
        <w:t xml:space="preserve"> društvena potreba“ koja bi mogla da opravda zabranu pristupa književnom radu takvog statusa i kažnjavanja njenog izdavača.</w:t>
      </w:r>
    </w:p>
    <w:p w:rsidR="006D5BC6" w:rsidRPr="00E12353" w:rsidRDefault="006D5BC6" w:rsidP="006D5BC6">
      <w:pPr>
        <w:pStyle w:val="ListParagraph"/>
        <w:spacing w:before="240"/>
        <w:ind w:left="0"/>
      </w:pPr>
    </w:p>
    <w:p w:rsidR="006D5BC6" w:rsidRPr="00E12353" w:rsidRDefault="00E05522" w:rsidP="00E338D0">
      <w:pPr>
        <w:pStyle w:val="ListParagraph"/>
        <w:numPr>
          <w:ilvl w:val="0"/>
          <w:numId w:val="24"/>
        </w:numPr>
        <w:spacing w:after="0"/>
        <w:jc w:val="both"/>
      </w:pPr>
      <w:r w:rsidRPr="00E05522">
        <w:rPr>
          <w:b/>
          <w:i/>
        </w:rPr>
        <w:t>Karttunen protiv Finske</w:t>
      </w:r>
      <w:r w:rsidR="006D5BC6" w:rsidRPr="00E12353">
        <w:t xml:space="preserve"> (</w:t>
      </w:r>
      <w:r>
        <w:t>predstavka br</w:t>
      </w:r>
      <w:r w:rsidR="006D5BC6" w:rsidRPr="00E12353">
        <w:t>. 1685/10), 10</w:t>
      </w:r>
      <w:r>
        <w:t>.</w:t>
      </w:r>
      <w:r w:rsidR="006D5BC6" w:rsidRPr="00E12353">
        <w:t xml:space="preserve"> </w:t>
      </w:r>
      <w:r>
        <w:t>maj</w:t>
      </w:r>
      <w:r w:rsidR="006D5BC6" w:rsidRPr="00E12353">
        <w:t xml:space="preserve"> 2011</w:t>
      </w:r>
      <w:r>
        <w:t>.</w:t>
      </w:r>
      <w:r w:rsidR="006D5BC6" w:rsidRPr="00E12353">
        <w:t xml:space="preserve"> – </w:t>
      </w:r>
      <w:r>
        <w:t xml:space="preserve">odluka o prihvatljivosti: </w:t>
      </w:r>
      <w:r w:rsidRPr="002F3E67">
        <w:rPr>
          <w:highlight w:val="yellow"/>
        </w:rPr>
        <w:t>osuda zbog prikazivanja dječje pornografije preuzete sa interneta kao dio umjetničke instalacije protiv pornografije</w:t>
      </w:r>
      <w:r w:rsidR="002F3E67">
        <w:rPr>
          <w:highlight w:val="yellow"/>
        </w:rPr>
        <w:t xml:space="preserve"> nije</w:t>
      </w:r>
      <w:r w:rsidRPr="002F3E67">
        <w:rPr>
          <w:highlight w:val="yellow"/>
        </w:rPr>
        <w:t xml:space="preserve"> prekršila pravo na slobodu izražavanja</w:t>
      </w:r>
    </w:p>
    <w:p w:rsidR="00E338D0" w:rsidRPr="00E12353" w:rsidRDefault="00E338D0" w:rsidP="00E338D0">
      <w:pPr>
        <w:pStyle w:val="ListParagraph"/>
        <w:spacing w:after="0"/>
        <w:ind w:left="0"/>
      </w:pPr>
    </w:p>
    <w:p w:rsidR="00E05522" w:rsidRDefault="00E05522" w:rsidP="00E338D0">
      <w:pPr>
        <w:spacing w:after="0"/>
        <w:jc w:val="both"/>
      </w:pPr>
      <w:r>
        <w:t xml:space="preserve">Slučaj se ticao osude </w:t>
      </w:r>
      <w:r w:rsidR="00B6570E">
        <w:t xml:space="preserve">finske umjetnice </w:t>
      </w:r>
      <w:r>
        <w:t>zbog po</w:t>
      </w:r>
      <w:r w:rsidR="002F3E67">
        <w:t>sjedovanja i javnog prikazivanja dječje pornografije</w:t>
      </w:r>
      <w:r w:rsidR="00B6570E">
        <w:t>,</w:t>
      </w:r>
      <w:r w:rsidR="002F3E67">
        <w:t xml:space="preserve"> koja</w:t>
      </w:r>
      <w:r>
        <w:t xml:space="preserve"> </w:t>
      </w:r>
      <w:r w:rsidR="002F3E67">
        <w:t xml:space="preserve">je u izložbu pod nazivom „Crkva Djevica-Kurva“ </w:t>
      </w:r>
      <w:r>
        <w:t>uključ</w:t>
      </w:r>
      <w:r w:rsidR="002F3E67">
        <w:t>ila</w:t>
      </w:r>
      <w:r>
        <w:t xml:space="preserve"> fotografije tinejdžerk</w:t>
      </w:r>
      <w:r w:rsidR="002F3E67">
        <w:t>i i mladih žena</w:t>
      </w:r>
      <w:r>
        <w:t xml:space="preserve"> u seksualnim pozama</w:t>
      </w:r>
      <w:r w:rsidR="002F3E67">
        <w:t>. Slike su preuzete sa</w:t>
      </w:r>
      <w:r>
        <w:t xml:space="preserve"> javno </w:t>
      </w:r>
      <w:r w:rsidR="002F3E67">
        <w:t>dostupnih</w:t>
      </w:r>
      <w:r>
        <w:t xml:space="preserve"> </w:t>
      </w:r>
      <w:r w:rsidR="00B6570E">
        <w:t>veb sajtova</w:t>
      </w:r>
      <w:r w:rsidR="00645CCC">
        <w:t>,</w:t>
      </w:r>
      <w:r>
        <w:t xml:space="preserve"> </w:t>
      </w:r>
      <w:r w:rsidR="00645CCC">
        <w:t>a</w:t>
      </w:r>
      <w:r w:rsidR="002F3E67">
        <w:t xml:space="preserve"> </w:t>
      </w:r>
      <w:r>
        <w:t>um</w:t>
      </w:r>
      <w:r w:rsidR="002F3E67">
        <w:t>j</w:t>
      </w:r>
      <w:r>
        <w:t>etn</w:t>
      </w:r>
      <w:r w:rsidR="002F3E67">
        <w:t>ica</w:t>
      </w:r>
      <w:r>
        <w:t xml:space="preserve"> </w:t>
      </w:r>
      <w:r w:rsidR="002F3E67">
        <w:t xml:space="preserve">je imala namjeru da iskoristi </w:t>
      </w:r>
      <w:r>
        <w:t xml:space="preserve">svoju izložbu </w:t>
      </w:r>
      <w:r w:rsidR="002F3E67">
        <w:t>da kritikuje</w:t>
      </w:r>
      <w:r>
        <w:t xml:space="preserve"> </w:t>
      </w:r>
      <w:r w:rsidR="00B6570E">
        <w:t xml:space="preserve">činjenicu da su takvi materijali dostupni na internetu besplatno. </w:t>
      </w:r>
      <w:r>
        <w:t>Izložba je zatvorena</w:t>
      </w:r>
      <w:r w:rsidR="002F3E67">
        <w:t xml:space="preserve">, slike su oduzete a </w:t>
      </w:r>
      <w:r>
        <w:t>um</w:t>
      </w:r>
      <w:r w:rsidR="002F3E67">
        <w:t>jet</w:t>
      </w:r>
      <w:r w:rsidR="001662C5">
        <w:t>n</w:t>
      </w:r>
      <w:r w:rsidR="002F3E67">
        <w:t>ica je</w:t>
      </w:r>
      <w:r>
        <w:t xml:space="preserve"> osuđen</w:t>
      </w:r>
      <w:r w:rsidR="002F3E67">
        <w:t>a</w:t>
      </w:r>
      <w:r>
        <w:t xml:space="preserve"> z</w:t>
      </w:r>
      <w:r w:rsidR="002F3E67">
        <w:t>bog distribucije</w:t>
      </w:r>
      <w:r>
        <w:t xml:space="preserve"> d</w:t>
      </w:r>
      <w:r w:rsidR="002F3E67">
        <w:t>ječ</w:t>
      </w:r>
      <w:r>
        <w:t>je pornografije</w:t>
      </w:r>
      <w:r w:rsidR="00B74E81">
        <w:t>.</w:t>
      </w:r>
      <w:r>
        <w:t xml:space="preserve"> </w:t>
      </w:r>
      <w:r w:rsidR="00B74E81">
        <w:t>No,</w:t>
      </w:r>
      <w:r w:rsidR="002F3E67">
        <w:t xml:space="preserve"> s obzirom da je i</w:t>
      </w:r>
      <w:r>
        <w:t xml:space="preserve">zložbu </w:t>
      </w:r>
      <w:r w:rsidR="00B74E81">
        <w:t xml:space="preserve">osmislila </w:t>
      </w:r>
      <w:r>
        <w:t xml:space="preserve">kao protest, </w:t>
      </w:r>
      <w:r w:rsidR="002F3E67">
        <w:t xml:space="preserve">nije joj izrečena novčana ili druga </w:t>
      </w:r>
      <w:r>
        <w:t>kazna</w:t>
      </w:r>
      <w:r w:rsidR="002F3E67">
        <w:t>.</w:t>
      </w:r>
      <w:r>
        <w:t xml:space="preserve"> Ona </w:t>
      </w:r>
      <w:r w:rsidR="002F3E67">
        <w:t xml:space="preserve">je podnijela predstavku </w:t>
      </w:r>
      <w:r>
        <w:t xml:space="preserve">Evropskom sudu za ljudska prava </w:t>
      </w:r>
      <w:r w:rsidR="002F3E67">
        <w:t xml:space="preserve">tvrdeći da su </w:t>
      </w:r>
      <w:r>
        <w:t xml:space="preserve">osuda i </w:t>
      </w:r>
      <w:r w:rsidR="002F3E67">
        <w:t>oduzimanje</w:t>
      </w:r>
      <w:r>
        <w:t xml:space="preserve"> fotografija prekrš</w:t>
      </w:r>
      <w:r w:rsidR="002F3E67">
        <w:t>ili</w:t>
      </w:r>
      <w:r>
        <w:t xml:space="preserve"> njeno pravo na slobodu izražavanja.</w:t>
      </w:r>
    </w:p>
    <w:p w:rsidR="00A45074" w:rsidRDefault="00A45074" w:rsidP="00E338D0">
      <w:pPr>
        <w:spacing w:after="0"/>
        <w:jc w:val="both"/>
      </w:pPr>
    </w:p>
    <w:p w:rsidR="002F3E67" w:rsidRDefault="002F3E67" w:rsidP="00E338D0">
      <w:pPr>
        <w:spacing w:after="0"/>
        <w:jc w:val="both"/>
      </w:pPr>
      <w:r>
        <w:t>Evropski sud je smatrao da osuda nije prekrši</w:t>
      </w:r>
      <w:r w:rsidR="001662C5">
        <w:t xml:space="preserve">la pravo na slobodu izražavanja. Sud </w:t>
      </w:r>
      <w:r>
        <w:t xml:space="preserve">je </w:t>
      </w:r>
      <w:r w:rsidR="001662C5">
        <w:t>konstatovao da</w:t>
      </w:r>
      <w:r w:rsidR="00B74E81">
        <w:t>,</w:t>
      </w:r>
      <w:r>
        <w:t xml:space="preserve"> </w:t>
      </w:r>
      <w:r w:rsidR="00A45074">
        <w:t xml:space="preserve">je posjedovanje i javno prikazivanje dječje pornografije u Finskoj krivično djelo, </w:t>
      </w:r>
      <w:r w:rsidR="001662C5">
        <w:t>iako je</w:t>
      </w:r>
      <w:r>
        <w:t xml:space="preserve"> nam</w:t>
      </w:r>
      <w:r w:rsidR="001662C5">
        <w:t>j</w:t>
      </w:r>
      <w:r>
        <w:t>era um</w:t>
      </w:r>
      <w:r w:rsidR="001662C5">
        <w:t>jetnice</w:t>
      </w:r>
      <w:r>
        <w:t xml:space="preserve"> bi</w:t>
      </w:r>
      <w:r w:rsidR="00A45074">
        <w:t>la da na taj način zapravo</w:t>
      </w:r>
      <w:r w:rsidR="001662C5">
        <w:t xml:space="preserve"> protest</w:t>
      </w:r>
      <w:r w:rsidR="00A45074">
        <w:t>uje</w:t>
      </w:r>
      <w:r>
        <w:t xml:space="preserve"> zbog dostupnosti d</w:t>
      </w:r>
      <w:r w:rsidR="001662C5">
        <w:t>j</w:t>
      </w:r>
      <w:r>
        <w:t>ečje pornografije na internetu. Osuda um</w:t>
      </w:r>
      <w:r w:rsidR="001662C5">
        <w:t>j</w:t>
      </w:r>
      <w:r>
        <w:t>etn</w:t>
      </w:r>
      <w:r w:rsidR="001662C5">
        <w:t>ice</w:t>
      </w:r>
      <w:r>
        <w:t xml:space="preserve"> je stoga </w:t>
      </w:r>
      <w:r w:rsidR="001662C5">
        <w:t>bila</w:t>
      </w:r>
      <w:r>
        <w:t xml:space="preserve"> opravdana </w:t>
      </w:r>
      <w:r w:rsidR="001662C5">
        <w:t>– postoj</w:t>
      </w:r>
      <w:r w:rsidR="009F2824">
        <w:t>a</w:t>
      </w:r>
      <w:r w:rsidR="001662C5">
        <w:t>la je suš</w:t>
      </w:r>
      <w:r>
        <w:t>tinska društvena potreba da se d</w:t>
      </w:r>
      <w:r w:rsidR="001662C5">
        <w:t>jeca</w:t>
      </w:r>
      <w:r>
        <w:t xml:space="preserve"> </w:t>
      </w:r>
      <w:r w:rsidR="001662C5">
        <w:t xml:space="preserve">zaštite </w:t>
      </w:r>
      <w:r w:rsidR="009F2824">
        <w:t>od</w:t>
      </w:r>
      <w:r>
        <w:t xml:space="preserve"> seksualnog zlostavljanja, da </w:t>
      </w:r>
      <w:r w:rsidR="001662C5">
        <w:t>se zaštiti njihova</w:t>
      </w:r>
      <w:r>
        <w:t xml:space="preserve"> priv</w:t>
      </w:r>
      <w:r w:rsidR="001662C5">
        <w:t>atnost kao i</w:t>
      </w:r>
      <w:r>
        <w:t xml:space="preserve"> z</w:t>
      </w:r>
      <w:r w:rsidR="009F2824">
        <w:t>bog drugih moralnih razloga</w:t>
      </w:r>
      <w:r>
        <w:t>. Pravo podnosi</w:t>
      </w:r>
      <w:r w:rsidR="001662C5">
        <w:t>teljke</w:t>
      </w:r>
      <w:r>
        <w:t xml:space="preserve"> predstavke na slobodu izražavanja i njene dobre nam</w:t>
      </w:r>
      <w:r w:rsidR="001662C5">
        <w:t>jere n</w:t>
      </w:r>
      <w:r w:rsidR="00A45074">
        <w:t>i</w:t>
      </w:r>
      <w:r w:rsidR="00773601">
        <w:t>je</w:t>
      </w:r>
      <w:r w:rsidR="00A45074">
        <w:t>su</w:t>
      </w:r>
      <w:r>
        <w:t xml:space="preserve"> </w:t>
      </w:r>
      <w:r w:rsidR="00A45074">
        <w:t xml:space="preserve">mogle da </w:t>
      </w:r>
      <w:r>
        <w:t>opravda</w:t>
      </w:r>
      <w:r w:rsidR="00A45074">
        <w:t>ju</w:t>
      </w:r>
      <w:r>
        <w:t xml:space="preserve"> pos</w:t>
      </w:r>
      <w:r w:rsidR="001662C5">
        <w:t>j</w:t>
      </w:r>
      <w:r>
        <w:t>edovanje i javno prikazivanje d</w:t>
      </w:r>
      <w:r w:rsidR="001662C5">
        <w:t>ječje pornografije.</w:t>
      </w:r>
    </w:p>
    <w:p w:rsidR="00E338D0" w:rsidRDefault="00E338D0" w:rsidP="00E338D0">
      <w:pPr>
        <w:spacing w:after="0"/>
        <w:jc w:val="both"/>
      </w:pPr>
    </w:p>
    <w:p w:rsidR="00773601" w:rsidRPr="00E12353" w:rsidRDefault="00773601" w:rsidP="00E338D0">
      <w:pPr>
        <w:spacing w:after="0"/>
        <w:jc w:val="both"/>
      </w:pPr>
    </w:p>
    <w:p w:rsidR="00E338D0" w:rsidRPr="00E12353" w:rsidRDefault="00E338D0" w:rsidP="001662C5">
      <w:pPr>
        <w:pStyle w:val="ListParagraph"/>
        <w:numPr>
          <w:ilvl w:val="0"/>
          <w:numId w:val="24"/>
        </w:numPr>
        <w:spacing w:after="0"/>
        <w:jc w:val="both"/>
      </w:pPr>
      <w:r w:rsidRPr="001662C5">
        <w:rPr>
          <w:b/>
          <w:i/>
        </w:rPr>
        <w:t xml:space="preserve">Perrin </w:t>
      </w:r>
      <w:r w:rsidR="001662C5" w:rsidRPr="001662C5">
        <w:rPr>
          <w:b/>
          <w:i/>
        </w:rPr>
        <w:t>protiv Ujedinjenog Kraljevstva</w:t>
      </w:r>
      <w:r w:rsidRPr="00E12353">
        <w:t xml:space="preserve"> (</w:t>
      </w:r>
      <w:r w:rsidR="001662C5">
        <w:t>predstavka br</w:t>
      </w:r>
      <w:r w:rsidRPr="00E12353">
        <w:t>. 5446/03), 18</w:t>
      </w:r>
      <w:r w:rsidR="001662C5">
        <w:t>.</w:t>
      </w:r>
      <w:r w:rsidRPr="00E12353">
        <w:t xml:space="preserve"> </w:t>
      </w:r>
      <w:r w:rsidR="001662C5">
        <w:t>oktobar</w:t>
      </w:r>
      <w:r w:rsidRPr="00E12353">
        <w:t xml:space="preserve"> 2005</w:t>
      </w:r>
      <w:r w:rsidR="001662C5">
        <w:t xml:space="preserve"> – odluka o prihvatljivosti: </w:t>
      </w:r>
      <w:r w:rsidR="001662C5" w:rsidRPr="001662C5">
        <w:rPr>
          <w:highlight w:val="yellow"/>
        </w:rPr>
        <w:t xml:space="preserve">osuda zbog opscenosti na </w:t>
      </w:r>
      <w:r w:rsidR="00B6570E">
        <w:rPr>
          <w:highlight w:val="yellow"/>
        </w:rPr>
        <w:t>veb sajtu</w:t>
      </w:r>
      <w:r w:rsidR="001662C5" w:rsidRPr="001662C5">
        <w:rPr>
          <w:highlight w:val="yellow"/>
        </w:rPr>
        <w:t xml:space="preserve"> na koj</w:t>
      </w:r>
      <w:r w:rsidR="00B6570E">
        <w:rPr>
          <w:highlight w:val="yellow"/>
        </w:rPr>
        <w:t>em</w:t>
      </w:r>
      <w:r w:rsidR="001662C5" w:rsidRPr="001662C5">
        <w:rPr>
          <w:highlight w:val="yellow"/>
        </w:rPr>
        <w:t xml:space="preserve"> su prikazane grafičk</w:t>
      </w:r>
      <w:r w:rsidR="00A45074">
        <w:rPr>
          <w:highlight w:val="yellow"/>
        </w:rPr>
        <w:t>i eksplicitne</w:t>
      </w:r>
      <w:r w:rsidR="001662C5" w:rsidRPr="001662C5">
        <w:rPr>
          <w:highlight w:val="yellow"/>
        </w:rPr>
        <w:t xml:space="preserve"> scene seksa nije prekršila pravo na slobodu izražavanja</w:t>
      </w:r>
    </w:p>
    <w:p w:rsidR="00E338D0" w:rsidRPr="00E12353" w:rsidRDefault="00E338D0" w:rsidP="00E338D0">
      <w:pPr>
        <w:pStyle w:val="ListParagraph"/>
        <w:spacing w:after="0"/>
        <w:ind w:left="0"/>
      </w:pPr>
    </w:p>
    <w:p w:rsidR="001662C5" w:rsidRDefault="001662C5" w:rsidP="00E338D0">
      <w:pPr>
        <w:spacing w:after="0"/>
        <w:jc w:val="both"/>
      </w:pPr>
      <w:r>
        <w:t xml:space="preserve">Podnosilac predstavke je čovjek osuđen na 30 mjeseci zatvora jer je na </w:t>
      </w:r>
      <w:r w:rsidR="00B6570E">
        <w:t>veb sajtu</w:t>
      </w:r>
      <w:r>
        <w:t xml:space="preserve"> objavio scene seksa koje uključuju </w:t>
      </w:r>
      <w:r w:rsidRPr="001662C5">
        <w:t>izmet</w:t>
      </w:r>
      <w:r>
        <w:t xml:space="preserve">, </w:t>
      </w:r>
      <w:r w:rsidR="00A45074">
        <w:t>konzumaciju</w:t>
      </w:r>
      <w:r>
        <w:t xml:space="preserve"> izmeta i felaci</w:t>
      </w:r>
      <w:r w:rsidR="00645CCC">
        <w:t>o</w:t>
      </w:r>
      <w:r w:rsidRPr="001662C5">
        <w:t xml:space="preserve">. </w:t>
      </w:r>
      <w:r w:rsidR="00B6570E">
        <w:t>Sajt</w:t>
      </w:r>
      <w:r w:rsidRPr="001662C5">
        <w:t xml:space="preserve"> je objavljen</w:t>
      </w:r>
      <w:r w:rsidR="00EE4615">
        <w:t xml:space="preserve"> preko kompanije</w:t>
      </w:r>
      <w:r w:rsidRPr="001662C5">
        <w:t xml:space="preserve"> registrovane u Sjedinjenim Američkim Državama</w:t>
      </w:r>
      <w:r w:rsidR="00A45074">
        <w:t xml:space="preserve"> (SAD) </w:t>
      </w:r>
      <w:r w:rsidRPr="001662C5">
        <w:t xml:space="preserve">i sa servera </w:t>
      </w:r>
      <w:r w:rsidR="00A45074">
        <w:t xml:space="preserve">postavljenog </w:t>
      </w:r>
      <w:r w:rsidRPr="001662C5">
        <w:t>u SAD</w:t>
      </w:r>
      <w:r w:rsidR="00EE4615">
        <w:t xml:space="preserve">-u, </w:t>
      </w:r>
      <w:r w:rsidR="00645CCC">
        <w:t>u</w:t>
      </w:r>
      <w:r w:rsidR="00EE4615">
        <w:t xml:space="preserve"> skladu sa zakonima SAD. Međutim</w:t>
      </w:r>
      <w:r w:rsidRPr="001662C5">
        <w:t>,</w:t>
      </w:r>
      <w:r w:rsidR="00EE4615">
        <w:t xml:space="preserve"> </w:t>
      </w:r>
      <w:r w:rsidRPr="001662C5">
        <w:t>izdav</w:t>
      </w:r>
      <w:r w:rsidR="00EE4615">
        <w:t>ač je živi</w:t>
      </w:r>
      <w:r w:rsidRPr="001662C5">
        <w:t xml:space="preserve">o u </w:t>
      </w:r>
      <w:r w:rsidR="00EE4615">
        <w:t>Ujedinjenom Kraljevstvu</w:t>
      </w:r>
      <w:r w:rsidR="00645CCC">
        <w:t>,</w:t>
      </w:r>
      <w:r w:rsidR="00EE4615">
        <w:t xml:space="preserve"> i bio gonjen po</w:t>
      </w:r>
      <w:r w:rsidRPr="001662C5">
        <w:t xml:space="preserve"> britanskom zakonu o opscenosti. On se žalio Evropskom sudu za ljudska prava da </w:t>
      </w:r>
      <w:r w:rsidR="00EE4615">
        <w:t xml:space="preserve">su </w:t>
      </w:r>
      <w:r w:rsidRPr="001662C5">
        <w:t>osuda i kazna zatvora prekrš</w:t>
      </w:r>
      <w:r w:rsidR="00EE4615">
        <w:t>ili</w:t>
      </w:r>
      <w:r w:rsidRPr="001662C5">
        <w:t xml:space="preserve"> njegovo pravo na slobodu izražavanja. </w:t>
      </w:r>
      <w:r w:rsidR="00645CCC">
        <w:t>T</w:t>
      </w:r>
      <w:r w:rsidRPr="001662C5">
        <w:t xml:space="preserve">vrdio </w:t>
      </w:r>
      <w:r w:rsidR="00645CCC">
        <w:t xml:space="preserve">je </w:t>
      </w:r>
      <w:r w:rsidRPr="001662C5">
        <w:t>da</w:t>
      </w:r>
      <w:r w:rsidR="00645CCC">
        <w:t>,</w:t>
      </w:r>
      <w:r w:rsidRPr="001662C5">
        <w:t xml:space="preserve"> </w:t>
      </w:r>
      <w:r w:rsidR="00EE4615">
        <w:t xml:space="preserve">s obzirom da je </w:t>
      </w:r>
      <w:r w:rsidRPr="001662C5">
        <w:t xml:space="preserve">materijal objavljen preko američke kompanije </w:t>
      </w:r>
      <w:r w:rsidR="00EE4615">
        <w:t>na američkim serverima</w:t>
      </w:r>
      <w:r w:rsidRPr="001662C5">
        <w:t xml:space="preserve">, on ne bi trebalo da bude </w:t>
      </w:r>
      <w:r w:rsidR="00EE4615">
        <w:t>gonjen po engleskim zakonima.</w:t>
      </w:r>
    </w:p>
    <w:p w:rsidR="001662C5" w:rsidRDefault="001662C5" w:rsidP="00E338D0">
      <w:pPr>
        <w:spacing w:after="0"/>
        <w:jc w:val="both"/>
      </w:pPr>
    </w:p>
    <w:p w:rsidR="00CB1468" w:rsidRPr="00E12353" w:rsidRDefault="00EE4615" w:rsidP="00696FEF">
      <w:pPr>
        <w:spacing w:after="0"/>
        <w:jc w:val="both"/>
      </w:pPr>
      <w:r w:rsidRPr="00EE4615">
        <w:t xml:space="preserve">Evropski sud za ljudska prava </w:t>
      </w:r>
      <w:r>
        <w:t xml:space="preserve">je </w:t>
      </w:r>
      <w:r w:rsidRPr="00EE4615">
        <w:t>smatra</w:t>
      </w:r>
      <w:r>
        <w:t xml:space="preserve">o da </w:t>
      </w:r>
      <w:r w:rsidRPr="00EE4615">
        <w:t>osuda nije prekršila pravo izdavača na slobodu izražavanja</w:t>
      </w:r>
      <w:r w:rsidR="00F87B38">
        <w:t>,</w:t>
      </w:r>
      <w:r>
        <w:t xml:space="preserve"> z</w:t>
      </w:r>
      <w:r w:rsidRPr="00EE4615">
        <w:t>aključi</w:t>
      </w:r>
      <w:r w:rsidR="00F87B38">
        <w:t>vši</w:t>
      </w:r>
      <w:r w:rsidRPr="00EE4615">
        <w:t xml:space="preserve"> </w:t>
      </w:r>
      <w:r>
        <w:t>da</w:t>
      </w:r>
      <w:r w:rsidR="00645CCC">
        <w:t xml:space="preserve"> je izdavač,</w:t>
      </w:r>
      <w:r>
        <w:t xml:space="preserve"> s obzirom da je</w:t>
      </w:r>
      <w:r w:rsidRPr="00EE4615">
        <w:t xml:space="preserve"> boravio u Velikoj </w:t>
      </w:r>
      <w:r>
        <w:t>Britaniji i objavio</w:t>
      </w:r>
      <w:r w:rsidRPr="00EE4615">
        <w:t xml:space="preserve"> </w:t>
      </w:r>
      <w:r w:rsidR="00B6570E">
        <w:t>sajt</w:t>
      </w:r>
      <w:r>
        <w:t xml:space="preserve"> </w:t>
      </w:r>
      <w:r w:rsidR="00F87B38">
        <w:t>kao poslovnu djelatnost</w:t>
      </w:r>
      <w:r w:rsidRPr="00EE4615">
        <w:t>,</w:t>
      </w:r>
      <w:r w:rsidR="00F87B38">
        <w:t xml:space="preserve"> </w:t>
      </w:r>
      <w:r w:rsidRPr="00EE4615">
        <w:t xml:space="preserve">trebalo da </w:t>
      </w:r>
      <w:r>
        <w:t>traži</w:t>
      </w:r>
      <w:r w:rsidRPr="00EE4615">
        <w:t xml:space="preserve"> pravni sav</w:t>
      </w:r>
      <w:r>
        <w:t>j</w:t>
      </w:r>
      <w:r w:rsidRPr="00EE4615">
        <w:t xml:space="preserve">et </w:t>
      </w:r>
      <w:r w:rsidR="00F358E2">
        <w:t>o primjenljivosti sa</w:t>
      </w:r>
      <w:r w:rsidRPr="00EE4615">
        <w:t xml:space="preserve"> </w:t>
      </w:r>
      <w:r w:rsidR="00F358E2">
        <w:t>skladu sa</w:t>
      </w:r>
      <w:r w:rsidRPr="00EE4615">
        <w:t xml:space="preserve"> zakon</w:t>
      </w:r>
      <w:r w:rsidR="00F358E2">
        <w:t>om</w:t>
      </w:r>
      <w:r>
        <w:t xml:space="preserve"> Velike Britanije</w:t>
      </w:r>
      <w:r w:rsidRPr="00EE4615">
        <w:t xml:space="preserve">. Sud je smatrao da je </w:t>
      </w:r>
      <w:r>
        <w:t xml:space="preserve">zakon </w:t>
      </w:r>
      <w:r w:rsidR="00F358E2">
        <w:t xml:space="preserve">o opscenosti </w:t>
      </w:r>
      <w:r w:rsidRPr="00EE4615">
        <w:t>Velik</w:t>
      </w:r>
      <w:r>
        <w:t>e</w:t>
      </w:r>
      <w:r w:rsidRPr="00EE4615">
        <w:t xml:space="preserve"> Britanij</w:t>
      </w:r>
      <w:r>
        <w:t>e</w:t>
      </w:r>
      <w:r w:rsidR="00F358E2">
        <w:t xml:space="preserve"> </w:t>
      </w:r>
      <w:r w:rsidR="00F87B38">
        <w:t xml:space="preserve">bio </w:t>
      </w:r>
      <w:r>
        <w:t>dovoljno jasan</w:t>
      </w:r>
      <w:r w:rsidRPr="00EE4615">
        <w:t xml:space="preserve"> i </w:t>
      </w:r>
      <w:r>
        <w:t>da je</w:t>
      </w:r>
      <w:r w:rsidRPr="00EE4615">
        <w:t xml:space="preserve"> </w:t>
      </w:r>
      <w:r w:rsidR="00F87B38">
        <w:t xml:space="preserve">sporni materijal </w:t>
      </w:r>
      <w:r w:rsidRPr="00EE4615">
        <w:t xml:space="preserve">očigledno </w:t>
      </w:r>
      <w:r w:rsidR="00F87B38">
        <w:t>s</w:t>
      </w:r>
      <w:r>
        <w:t>pada</w:t>
      </w:r>
      <w:r w:rsidR="00F87B38">
        <w:t>o u</w:t>
      </w:r>
      <w:r>
        <w:t xml:space="preserve"> njegov djelokrug</w:t>
      </w:r>
      <w:r w:rsidRPr="00EE4615">
        <w:t xml:space="preserve">. Sud je takođe </w:t>
      </w:r>
      <w:r>
        <w:t>konstatovao</w:t>
      </w:r>
      <w:r w:rsidRPr="00EE4615">
        <w:t xml:space="preserve"> da su neki</w:t>
      </w:r>
      <w:r>
        <w:t xml:space="preserve"> materijali</w:t>
      </w:r>
      <w:r w:rsidRPr="00EE4615">
        <w:t xml:space="preserve"> bi</w:t>
      </w:r>
      <w:r>
        <w:t>li dostup</w:t>
      </w:r>
      <w:r w:rsidRPr="00EE4615">
        <w:t>n</w:t>
      </w:r>
      <w:r>
        <w:t>i</w:t>
      </w:r>
      <w:r w:rsidRPr="00EE4615">
        <w:t xml:space="preserve"> besplatno i da su domaći sudovi </w:t>
      </w:r>
      <w:r w:rsidR="00F87B38">
        <w:t xml:space="preserve">ispravno zaključili </w:t>
      </w:r>
      <w:r>
        <w:t>da</w:t>
      </w:r>
      <w:r w:rsidR="00F87B38">
        <w:t xml:space="preserve"> su i</w:t>
      </w:r>
      <w:r>
        <w:t xml:space="preserve"> vrlo mladi </w:t>
      </w:r>
      <w:r w:rsidRPr="00EE4615">
        <w:t xml:space="preserve">ljudi </w:t>
      </w:r>
      <w:r>
        <w:t>mog</w:t>
      </w:r>
      <w:r w:rsidR="00F87B38">
        <w:t>li</w:t>
      </w:r>
      <w:r>
        <w:t xml:space="preserve"> doći do </w:t>
      </w:r>
      <w:r w:rsidR="00B6570E">
        <w:t>tog sajta</w:t>
      </w:r>
      <w:r>
        <w:t xml:space="preserve"> –</w:t>
      </w:r>
      <w:r w:rsidRPr="00EE4615">
        <w:t xml:space="preserve"> što</w:t>
      </w:r>
      <w:r>
        <w:t xml:space="preserve"> je upravo ono št</w:t>
      </w:r>
      <w:r w:rsidR="00F87B38">
        <w:t>o je</w:t>
      </w:r>
      <w:r>
        <w:t xml:space="preserve"> zakon o opscenosti pokušava</w:t>
      </w:r>
      <w:r w:rsidR="00F87B38">
        <w:t>o</w:t>
      </w:r>
      <w:r w:rsidRPr="00EE4615">
        <w:t xml:space="preserve"> da spr</w:t>
      </w:r>
      <w:r>
        <w:t>ij</w:t>
      </w:r>
      <w:r w:rsidRPr="00EE4615">
        <w:t xml:space="preserve">eči. Činjenica da je objavljivanje tog materijala </w:t>
      </w:r>
      <w:r w:rsidR="00F87B38">
        <w:t xml:space="preserve">bilo </w:t>
      </w:r>
      <w:r>
        <w:t>zakonito u S</w:t>
      </w:r>
      <w:r w:rsidR="00F87B38">
        <w:t>AD,</w:t>
      </w:r>
      <w:r>
        <w:t xml:space="preserve"> bila je nebit</w:t>
      </w:r>
      <w:r w:rsidRPr="00EE4615">
        <w:t>n</w:t>
      </w:r>
      <w:r>
        <w:t>a</w:t>
      </w:r>
      <w:r w:rsidRPr="00EE4615">
        <w:t>:</w:t>
      </w:r>
      <w:r>
        <w:t xml:space="preserve"> </w:t>
      </w:r>
      <w:r w:rsidRPr="00EE4615">
        <w:t>Evropski sud je naglas</w:t>
      </w:r>
      <w:r w:rsidR="00696FEF">
        <w:t xml:space="preserve">io da se u pitanjima javnog morala standardi </w:t>
      </w:r>
      <w:r w:rsidRPr="00EE4615">
        <w:t xml:space="preserve">razlikuju od </w:t>
      </w:r>
      <w:r w:rsidR="00E46C4D">
        <w:t>jedne do druge zemlj</w:t>
      </w:r>
      <w:r w:rsidR="00F87B38">
        <w:t>e</w:t>
      </w:r>
      <w:r w:rsidRPr="00EE4615">
        <w:t>.</w:t>
      </w:r>
      <w:r w:rsidR="00B6570E">
        <w:t xml:space="preserve"> Sud je</w:t>
      </w:r>
      <w:r w:rsidR="00E46C4D">
        <w:t>,</w:t>
      </w:r>
      <w:r w:rsidR="00B6570E">
        <w:t xml:space="preserve"> takođe</w:t>
      </w:r>
      <w:r w:rsidR="00E46C4D">
        <w:t>,</w:t>
      </w:r>
      <w:r w:rsidR="00B6570E">
        <w:t xml:space="preserve"> smatrao da zatvorska kazna nije bila</w:t>
      </w:r>
      <w:r w:rsidRPr="00EE4615">
        <w:t xml:space="preserve"> nesrazm</w:t>
      </w:r>
      <w:r w:rsidR="00696FEF">
        <w:t>j</w:t>
      </w:r>
      <w:r w:rsidRPr="00EE4615">
        <w:t>ern</w:t>
      </w:r>
      <w:r w:rsidR="00F87B38">
        <w:t>a</w:t>
      </w:r>
      <w:r w:rsidRPr="00EE4615">
        <w:t xml:space="preserve"> je</w:t>
      </w:r>
      <w:r w:rsidR="00F87B38">
        <w:t>r je</w:t>
      </w:r>
      <w:r w:rsidRPr="00EE4615">
        <w:t xml:space="preserve"> jedini cilj izdavač</w:t>
      </w:r>
      <w:r w:rsidR="00B6570E">
        <w:t>a</w:t>
      </w:r>
      <w:r w:rsidRPr="00EE4615">
        <w:t xml:space="preserve"> bio finansijski (materijal </w:t>
      </w:r>
      <w:r w:rsidR="00B6570E">
        <w:t xml:space="preserve">nije </w:t>
      </w:r>
      <w:r w:rsidRPr="00EE4615">
        <w:t>bio ni od kakve um</w:t>
      </w:r>
      <w:r w:rsidR="00696FEF">
        <w:t>jetničke ili književne vrijednosti i nije doprinio političkoj debati</w:t>
      </w:r>
      <w:r w:rsidRPr="00EE4615">
        <w:t>)</w:t>
      </w:r>
      <w:r w:rsidR="005F251B">
        <w:t xml:space="preserve">, </w:t>
      </w:r>
      <w:r w:rsidR="00F87B38">
        <w:t>a</w:t>
      </w:r>
      <w:r w:rsidR="00696FEF">
        <w:t xml:space="preserve"> izdavač</w:t>
      </w:r>
      <w:r w:rsidRPr="00EE4615">
        <w:t xml:space="preserve"> </w:t>
      </w:r>
      <w:r w:rsidR="00F87B38">
        <w:t xml:space="preserve">je mogao </w:t>
      </w:r>
      <w:r w:rsidRPr="00EE4615">
        <w:t>bi</w:t>
      </w:r>
      <w:r w:rsidR="00F87B38">
        <w:t>ti oslobođen nakon</w:t>
      </w:r>
      <w:r w:rsidRPr="00EE4615">
        <w:t xml:space="preserve"> petnaest m</w:t>
      </w:r>
      <w:r w:rsidR="00696FEF">
        <w:t>j</w:t>
      </w:r>
      <w:r w:rsidRPr="00EE4615">
        <w:t>eseci</w:t>
      </w:r>
      <w:r w:rsidR="00F87B38">
        <w:t xml:space="preserve"> zatvora</w:t>
      </w:r>
      <w:r w:rsidR="00696FEF">
        <w:t>.</w:t>
      </w:r>
    </w:p>
    <w:p w:rsidR="00CB1468" w:rsidRPr="00E12353" w:rsidRDefault="00CB1468" w:rsidP="005C4872">
      <w:pPr>
        <w:jc w:val="both"/>
      </w:pPr>
    </w:p>
    <w:p w:rsidR="00E12353" w:rsidRDefault="00E12353" w:rsidP="00E12353">
      <w:pPr>
        <w:jc w:val="both"/>
      </w:pPr>
    </w:p>
    <w:p w:rsidR="00773601" w:rsidRDefault="00773601" w:rsidP="00E12353">
      <w:pPr>
        <w:jc w:val="both"/>
      </w:pPr>
    </w:p>
    <w:p w:rsidR="00773601" w:rsidRPr="00D800AE" w:rsidRDefault="00773601" w:rsidP="00E12353">
      <w:pPr>
        <w:jc w:val="both"/>
      </w:pPr>
      <w:bookmarkStart w:id="0" w:name="_GoBack"/>
      <w:bookmarkEnd w:id="0"/>
    </w:p>
    <w:p w:rsidR="00E12353" w:rsidRPr="00D800AE" w:rsidRDefault="00E12353" w:rsidP="00E12353">
      <w:pPr>
        <w:spacing w:after="0"/>
        <w:jc w:val="both"/>
        <w:rPr>
          <w:b/>
          <w:i/>
        </w:rPr>
      </w:pPr>
      <w:r w:rsidRPr="00D800AE">
        <w:rPr>
          <w:b/>
          <w:i/>
        </w:rPr>
        <w:t>Pripremio: Peter Noorlander, direktor Media Legal Defence Initiative, u saradnji sa HRA</w:t>
      </w:r>
    </w:p>
    <w:p w:rsidR="00E12353" w:rsidRPr="00D800AE" w:rsidRDefault="00E12353" w:rsidP="00E12353">
      <w:pPr>
        <w:spacing w:after="0"/>
        <w:jc w:val="both"/>
        <w:rPr>
          <w:b/>
          <w:i/>
        </w:rPr>
      </w:pPr>
    </w:p>
    <w:p w:rsidR="00E12353" w:rsidRPr="00D800AE" w:rsidRDefault="0043477C" w:rsidP="00E12353">
      <w:pPr>
        <w:spacing w:after="0"/>
        <w:jc w:val="both"/>
        <w:rPr>
          <w:sz w:val="20"/>
          <w:szCs w:val="20"/>
          <w:shd w:val="clear" w:color="auto" w:fill="FFFFFF"/>
        </w:rPr>
      </w:pPr>
      <w:r>
        <w:rPr>
          <w:b/>
          <w:i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-2.05pt;margin-top:9.5pt;width:455.1pt;height:0;z-index:251658752" o:connectortype="curved" adj="-3481,-1,-3481" strokecolor="#903" strokeweight="1.5pt"/>
        </w:pict>
      </w:r>
    </w:p>
    <w:p w:rsidR="00E12353" w:rsidRPr="00D800AE" w:rsidRDefault="00A45074" w:rsidP="00E12353">
      <w:pPr>
        <w:spacing w:after="0"/>
        <w:jc w:val="both"/>
        <w:rPr>
          <w:rFonts w:ascii="Cambria" w:hAnsi="Cambria"/>
          <w:sz w:val="20"/>
          <w:szCs w:val="20"/>
          <w:shd w:val="clear" w:color="auto" w:fill="FFFFFF"/>
        </w:rPr>
      </w:pPr>
      <w:r>
        <w:rPr>
          <w:lang w:eastAsia="sr-Latn-M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10795</wp:posOffset>
            </wp:positionV>
            <wp:extent cx="877570" cy="692785"/>
            <wp:effectExtent l="25400" t="0" r="11430" b="0"/>
            <wp:wrapTight wrapText="bothSides">
              <wp:wrapPolygon edited="0">
                <wp:start x="-625" y="0"/>
                <wp:lineTo x="-625" y="21382"/>
                <wp:lineTo x="21881" y="21382"/>
                <wp:lineTo x="21881" y="0"/>
                <wp:lineTo x="-625" y="0"/>
              </wp:wrapPolygon>
            </wp:wrapTight>
            <wp:docPr id="11" name="Picture 5" descr="FCO_BE_ME_TGD_PS_RGB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CO_BE_ME_TGD_PS_RGB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69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184A" w:rsidRPr="00E12353" w:rsidRDefault="0043477C" w:rsidP="00E12353">
      <w:pPr>
        <w:spacing w:after="0"/>
        <w:jc w:val="both"/>
        <w:rPr>
          <w:sz w:val="20"/>
          <w:szCs w:val="20"/>
        </w:rPr>
      </w:pPr>
      <w:r>
        <w:rPr>
          <w:rFonts w:ascii="Cambria" w:hAnsi="Cambria"/>
          <w:sz w:val="20"/>
          <w:szCs w:val="20"/>
          <w:lang w:val="en-US"/>
        </w:rPr>
        <w:pict>
          <v:shape id="_x0000_s1037" type="#_x0000_t32" style="position:absolute;left:0;text-align:left;margin-left:-78.1pt;margin-top:44.6pt;width:455.1pt;height:0;z-index:251659776" o:connectortype="curved" adj="-3481,-1,-3481" strokecolor="#903" strokeweight="1.5pt"/>
        </w:pict>
      </w:r>
      <w:r w:rsidR="00E12353" w:rsidRPr="00D800AE">
        <w:rPr>
          <w:rFonts w:ascii="Cambria" w:hAnsi="Cambria"/>
          <w:sz w:val="20"/>
          <w:szCs w:val="20"/>
          <w:shd w:val="clear" w:color="auto" w:fill="FFFFFF"/>
        </w:rPr>
        <w:t>Bilteni se objavljuju u okviru projekta “Monitoring novinarskih samoregulatornih tijela u Crnoj Gori” koji finanasira Britanska ambasada u Podgorici.</w:t>
      </w:r>
    </w:p>
    <w:sectPr w:rsidR="0009184A" w:rsidRPr="00E12353" w:rsidSect="00EE4615">
      <w:pgSz w:w="11906" w:h="16838"/>
      <w:pgMar w:top="1440" w:right="1440" w:bottom="16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77C" w:rsidRDefault="0043477C" w:rsidP="0009184A">
      <w:pPr>
        <w:spacing w:after="0" w:line="240" w:lineRule="auto"/>
      </w:pPr>
      <w:r>
        <w:separator/>
      </w:r>
    </w:p>
  </w:endnote>
  <w:endnote w:type="continuationSeparator" w:id="0">
    <w:p w:rsidR="0043477C" w:rsidRDefault="0043477C" w:rsidP="00091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77C" w:rsidRDefault="0043477C" w:rsidP="0009184A">
      <w:pPr>
        <w:spacing w:after="0" w:line="240" w:lineRule="auto"/>
      </w:pPr>
      <w:r>
        <w:separator/>
      </w:r>
    </w:p>
  </w:footnote>
  <w:footnote w:type="continuationSeparator" w:id="0">
    <w:p w:rsidR="0043477C" w:rsidRDefault="0043477C" w:rsidP="00091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80D82"/>
    <w:multiLevelType w:val="hybridMultilevel"/>
    <w:tmpl w:val="7E28420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463DB"/>
    <w:multiLevelType w:val="hybridMultilevel"/>
    <w:tmpl w:val="38709CF2"/>
    <w:lvl w:ilvl="0" w:tplc="E384D7A6">
      <w:numFmt w:val="bullet"/>
      <w:lvlText w:val="-"/>
      <w:lvlJc w:val="left"/>
      <w:pPr>
        <w:ind w:left="720" w:hanging="360"/>
      </w:pPr>
      <w:rPr>
        <w:rFonts w:ascii="Calibri" w:eastAsia="Times New Roman" w:hAnsi="Calibri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012C0"/>
    <w:multiLevelType w:val="hybridMultilevel"/>
    <w:tmpl w:val="F47868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5C4DB0"/>
    <w:multiLevelType w:val="hybridMultilevel"/>
    <w:tmpl w:val="3C36453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A6E51"/>
    <w:multiLevelType w:val="hybridMultilevel"/>
    <w:tmpl w:val="2BE2D6F8"/>
    <w:lvl w:ilvl="0" w:tplc="F9EA3FA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32AD6"/>
    <w:multiLevelType w:val="hybridMultilevel"/>
    <w:tmpl w:val="BA64489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F0B91"/>
    <w:multiLevelType w:val="hybridMultilevel"/>
    <w:tmpl w:val="2C4EF3A0"/>
    <w:lvl w:ilvl="0" w:tplc="578048F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3F20BE"/>
    <w:multiLevelType w:val="hybridMultilevel"/>
    <w:tmpl w:val="8B48E46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E022B"/>
    <w:multiLevelType w:val="hybridMultilevel"/>
    <w:tmpl w:val="BFDCF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AF06D4"/>
    <w:multiLevelType w:val="hybridMultilevel"/>
    <w:tmpl w:val="B590F43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75896"/>
    <w:multiLevelType w:val="hybridMultilevel"/>
    <w:tmpl w:val="7158C3FA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AC41EA"/>
    <w:multiLevelType w:val="hybridMultilevel"/>
    <w:tmpl w:val="A9245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A2384"/>
    <w:multiLevelType w:val="hybridMultilevel"/>
    <w:tmpl w:val="1A129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40D60"/>
    <w:multiLevelType w:val="hybridMultilevel"/>
    <w:tmpl w:val="91E22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FB0D59"/>
    <w:multiLevelType w:val="hybridMultilevel"/>
    <w:tmpl w:val="7A463E9E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A055381"/>
    <w:multiLevelType w:val="hybridMultilevel"/>
    <w:tmpl w:val="89D2AEE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771819"/>
    <w:multiLevelType w:val="hybridMultilevel"/>
    <w:tmpl w:val="6BBED914"/>
    <w:lvl w:ilvl="0" w:tplc="BD422A12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411EA2"/>
    <w:multiLevelType w:val="hybridMultilevel"/>
    <w:tmpl w:val="15B8AEEE"/>
    <w:lvl w:ilvl="0" w:tplc="6BE6D80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6151E0"/>
    <w:multiLevelType w:val="hybridMultilevel"/>
    <w:tmpl w:val="A5FC340A"/>
    <w:lvl w:ilvl="0" w:tplc="D56063AE">
      <w:start w:val="7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106413B"/>
    <w:multiLevelType w:val="hybridMultilevel"/>
    <w:tmpl w:val="8F6A6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FC2F07"/>
    <w:multiLevelType w:val="hybridMultilevel"/>
    <w:tmpl w:val="A4327C02"/>
    <w:lvl w:ilvl="0" w:tplc="D56063A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D72A65"/>
    <w:multiLevelType w:val="hybridMultilevel"/>
    <w:tmpl w:val="28324AF4"/>
    <w:lvl w:ilvl="0" w:tplc="D56063A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910445"/>
    <w:multiLevelType w:val="hybridMultilevel"/>
    <w:tmpl w:val="6704A4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B471BDB"/>
    <w:multiLevelType w:val="hybridMultilevel"/>
    <w:tmpl w:val="08CE4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CB54B3"/>
    <w:multiLevelType w:val="hybridMultilevel"/>
    <w:tmpl w:val="990A92B4"/>
    <w:lvl w:ilvl="0" w:tplc="BA4ECEFC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9"/>
  </w:num>
  <w:num w:numId="4">
    <w:abstractNumId w:val="22"/>
  </w:num>
  <w:num w:numId="5">
    <w:abstractNumId w:val="3"/>
  </w:num>
  <w:num w:numId="6">
    <w:abstractNumId w:val="24"/>
  </w:num>
  <w:num w:numId="7">
    <w:abstractNumId w:val="14"/>
  </w:num>
  <w:num w:numId="8">
    <w:abstractNumId w:val="13"/>
  </w:num>
  <w:num w:numId="9">
    <w:abstractNumId w:val="1"/>
  </w:num>
  <w:num w:numId="10">
    <w:abstractNumId w:val="2"/>
  </w:num>
  <w:num w:numId="11">
    <w:abstractNumId w:val="18"/>
  </w:num>
  <w:num w:numId="12">
    <w:abstractNumId w:val="20"/>
  </w:num>
  <w:num w:numId="13">
    <w:abstractNumId w:val="21"/>
  </w:num>
  <w:num w:numId="14">
    <w:abstractNumId w:val="17"/>
  </w:num>
  <w:num w:numId="15">
    <w:abstractNumId w:val="16"/>
  </w:num>
  <w:num w:numId="16">
    <w:abstractNumId w:val="23"/>
  </w:num>
  <w:num w:numId="17">
    <w:abstractNumId w:val="7"/>
  </w:num>
  <w:num w:numId="18">
    <w:abstractNumId w:val="10"/>
  </w:num>
  <w:num w:numId="19">
    <w:abstractNumId w:val="5"/>
  </w:num>
  <w:num w:numId="20">
    <w:abstractNumId w:val="6"/>
  </w:num>
  <w:num w:numId="21">
    <w:abstractNumId w:val="0"/>
  </w:num>
  <w:num w:numId="22">
    <w:abstractNumId w:val="9"/>
  </w:num>
  <w:num w:numId="23">
    <w:abstractNumId w:val="8"/>
  </w:num>
  <w:num w:numId="24">
    <w:abstractNumId w:val="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17E"/>
    <w:rsid w:val="00026EB5"/>
    <w:rsid w:val="00056343"/>
    <w:rsid w:val="0007116B"/>
    <w:rsid w:val="0007578B"/>
    <w:rsid w:val="000761AB"/>
    <w:rsid w:val="00090893"/>
    <w:rsid w:val="0009184A"/>
    <w:rsid w:val="00093B17"/>
    <w:rsid w:val="000A089F"/>
    <w:rsid w:val="000C141A"/>
    <w:rsid w:val="000C5C4C"/>
    <w:rsid w:val="000F1F71"/>
    <w:rsid w:val="0013191D"/>
    <w:rsid w:val="001460CF"/>
    <w:rsid w:val="00161A19"/>
    <w:rsid w:val="001662C5"/>
    <w:rsid w:val="001A2EED"/>
    <w:rsid w:val="001B03AF"/>
    <w:rsid w:val="001B6A76"/>
    <w:rsid w:val="001D7553"/>
    <w:rsid w:val="002022BD"/>
    <w:rsid w:val="00224143"/>
    <w:rsid w:val="0025420C"/>
    <w:rsid w:val="00256678"/>
    <w:rsid w:val="0026013B"/>
    <w:rsid w:val="00262A9D"/>
    <w:rsid w:val="0026752E"/>
    <w:rsid w:val="002714D4"/>
    <w:rsid w:val="00275BC2"/>
    <w:rsid w:val="00276FC4"/>
    <w:rsid w:val="00297C16"/>
    <w:rsid w:val="002B4C47"/>
    <w:rsid w:val="002F1B5B"/>
    <w:rsid w:val="002F3E67"/>
    <w:rsid w:val="00320641"/>
    <w:rsid w:val="00333152"/>
    <w:rsid w:val="0033690B"/>
    <w:rsid w:val="003449CE"/>
    <w:rsid w:val="0036132B"/>
    <w:rsid w:val="00366F07"/>
    <w:rsid w:val="003770ED"/>
    <w:rsid w:val="00395FD5"/>
    <w:rsid w:val="003B302F"/>
    <w:rsid w:val="003C192F"/>
    <w:rsid w:val="0043477C"/>
    <w:rsid w:val="00447B9F"/>
    <w:rsid w:val="0045437C"/>
    <w:rsid w:val="00467C69"/>
    <w:rsid w:val="004A6A5B"/>
    <w:rsid w:val="004C3393"/>
    <w:rsid w:val="004C3496"/>
    <w:rsid w:val="004D510F"/>
    <w:rsid w:val="004E6F0C"/>
    <w:rsid w:val="004F2384"/>
    <w:rsid w:val="005246EA"/>
    <w:rsid w:val="00525096"/>
    <w:rsid w:val="005342F7"/>
    <w:rsid w:val="00542878"/>
    <w:rsid w:val="00544A11"/>
    <w:rsid w:val="00553B25"/>
    <w:rsid w:val="00575EF1"/>
    <w:rsid w:val="00590F47"/>
    <w:rsid w:val="005A730C"/>
    <w:rsid w:val="005B2886"/>
    <w:rsid w:val="005B307F"/>
    <w:rsid w:val="005C4872"/>
    <w:rsid w:val="005C78B8"/>
    <w:rsid w:val="005D62CB"/>
    <w:rsid w:val="005F251B"/>
    <w:rsid w:val="0061334D"/>
    <w:rsid w:val="00636A6D"/>
    <w:rsid w:val="00645CCC"/>
    <w:rsid w:val="006575C5"/>
    <w:rsid w:val="00657FD4"/>
    <w:rsid w:val="00675708"/>
    <w:rsid w:val="00675D4F"/>
    <w:rsid w:val="00677CAE"/>
    <w:rsid w:val="00683DF2"/>
    <w:rsid w:val="00696FEF"/>
    <w:rsid w:val="006A0429"/>
    <w:rsid w:val="006A17DC"/>
    <w:rsid w:val="006A2538"/>
    <w:rsid w:val="006D5BC6"/>
    <w:rsid w:val="006F2299"/>
    <w:rsid w:val="006F4A30"/>
    <w:rsid w:val="006F50FB"/>
    <w:rsid w:val="007327EB"/>
    <w:rsid w:val="00745D35"/>
    <w:rsid w:val="007538B5"/>
    <w:rsid w:val="00766BBB"/>
    <w:rsid w:val="0076769E"/>
    <w:rsid w:val="00773601"/>
    <w:rsid w:val="00782118"/>
    <w:rsid w:val="007B59A0"/>
    <w:rsid w:val="007C43A5"/>
    <w:rsid w:val="007C7A98"/>
    <w:rsid w:val="007E4722"/>
    <w:rsid w:val="00800EFE"/>
    <w:rsid w:val="0080372E"/>
    <w:rsid w:val="00811E94"/>
    <w:rsid w:val="00812C02"/>
    <w:rsid w:val="00817710"/>
    <w:rsid w:val="0084159A"/>
    <w:rsid w:val="00863A6F"/>
    <w:rsid w:val="00866792"/>
    <w:rsid w:val="00874D3F"/>
    <w:rsid w:val="00875E33"/>
    <w:rsid w:val="008816E7"/>
    <w:rsid w:val="008936E8"/>
    <w:rsid w:val="008A26C7"/>
    <w:rsid w:val="008B5813"/>
    <w:rsid w:val="008C1060"/>
    <w:rsid w:val="008E21E7"/>
    <w:rsid w:val="008F2B40"/>
    <w:rsid w:val="009027A1"/>
    <w:rsid w:val="00906A55"/>
    <w:rsid w:val="00912C41"/>
    <w:rsid w:val="00917A96"/>
    <w:rsid w:val="00933D32"/>
    <w:rsid w:val="00936C5E"/>
    <w:rsid w:val="00962271"/>
    <w:rsid w:val="00981E74"/>
    <w:rsid w:val="00987F06"/>
    <w:rsid w:val="009977EC"/>
    <w:rsid w:val="009C5ABC"/>
    <w:rsid w:val="009E56B2"/>
    <w:rsid w:val="009F2824"/>
    <w:rsid w:val="00A36BDB"/>
    <w:rsid w:val="00A40DDA"/>
    <w:rsid w:val="00A45074"/>
    <w:rsid w:val="00A80ED7"/>
    <w:rsid w:val="00AC1E0B"/>
    <w:rsid w:val="00AC242D"/>
    <w:rsid w:val="00AC7CAC"/>
    <w:rsid w:val="00AF0D04"/>
    <w:rsid w:val="00B007F1"/>
    <w:rsid w:val="00B10697"/>
    <w:rsid w:val="00B509C8"/>
    <w:rsid w:val="00B6570E"/>
    <w:rsid w:val="00B7217E"/>
    <w:rsid w:val="00B726B7"/>
    <w:rsid w:val="00B74E81"/>
    <w:rsid w:val="00B85D6F"/>
    <w:rsid w:val="00B9402C"/>
    <w:rsid w:val="00BC35C1"/>
    <w:rsid w:val="00BC4F42"/>
    <w:rsid w:val="00BC7929"/>
    <w:rsid w:val="00BD3847"/>
    <w:rsid w:val="00BF46F2"/>
    <w:rsid w:val="00C00FC8"/>
    <w:rsid w:val="00C02F3A"/>
    <w:rsid w:val="00C24077"/>
    <w:rsid w:val="00C27705"/>
    <w:rsid w:val="00C734E5"/>
    <w:rsid w:val="00C77A59"/>
    <w:rsid w:val="00C77DFF"/>
    <w:rsid w:val="00C933DB"/>
    <w:rsid w:val="00CB1468"/>
    <w:rsid w:val="00CB4C07"/>
    <w:rsid w:val="00CC5AEF"/>
    <w:rsid w:val="00CE385E"/>
    <w:rsid w:val="00CE4623"/>
    <w:rsid w:val="00D3057E"/>
    <w:rsid w:val="00D505EA"/>
    <w:rsid w:val="00D545B9"/>
    <w:rsid w:val="00D55D45"/>
    <w:rsid w:val="00D77025"/>
    <w:rsid w:val="00D849B3"/>
    <w:rsid w:val="00DA2E0C"/>
    <w:rsid w:val="00E01A46"/>
    <w:rsid w:val="00E05522"/>
    <w:rsid w:val="00E12353"/>
    <w:rsid w:val="00E20D89"/>
    <w:rsid w:val="00E26B3C"/>
    <w:rsid w:val="00E31A76"/>
    <w:rsid w:val="00E338D0"/>
    <w:rsid w:val="00E45B29"/>
    <w:rsid w:val="00E46C4D"/>
    <w:rsid w:val="00E70B9D"/>
    <w:rsid w:val="00EB091F"/>
    <w:rsid w:val="00EB1EE9"/>
    <w:rsid w:val="00EB317D"/>
    <w:rsid w:val="00EC35AA"/>
    <w:rsid w:val="00EE4615"/>
    <w:rsid w:val="00EF0391"/>
    <w:rsid w:val="00F009F0"/>
    <w:rsid w:val="00F358E2"/>
    <w:rsid w:val="00F50F8B"/>
    <w:rsid w:val="00F65569"/>
    <w:rsid w:val="00F7253B"/>
    <w:rsid w:val="00F76AAE"/>
    <w:rsid w:val="00F87B38"/>
    <w:rsid w:val="00F918C8"/>
    <w:rsid w:val="00F95908"/>
    <w:rsid w:val="00FB61D2"/>
    <w:rsid w:val="00FB7220"/>
    <w:rsid w:val="00FB7CB1"/>
    <w:rsid w:val="00FC45F5"/>
    <w:rsid w:val="00FD2DA4"/>
    <w:rsid w:val="00FE3FC5"/>
    <w:rsid w:val="00FE4AA6"/>
    <w:rsid w:val="00FF5C5C"/>
    <w:rsid w:val="00FF71BB"/>
    <w:rsid w:val="00FF7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4"/>
        <o:r id="V:Rule2" type="connector" idref="#_x0000_s1037"/>
        <o:r id="V:Rule3" type="connector" idref="#_x0000_s1036"/>
      </o:rules>
    </o:shapelayout>
  </w:shapeDefaults>
  <w:decimalSymbol w:val="."/>
  <w:listSeparator w:val=","/>
  <w15:docId w15:val="{65CBD4E2-070D-4D4A-AFBD-3E17C279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F"/>
    <w:pPr>
      <w:spacing w:after="200" w:line="276" w:lineRule="auto"/>
    </w:pPr>
    <w:rPr>
      <w:sz w:val="22"/>
      <w:szCs w:val="22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217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7217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7217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B7217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FootnoteText">
    <w:name w:val="footnote text"/>
    <w:basedOn w:val="Normal"/>
    <w:link w:val="FootnoteTextChar"/>
    <w:semiHidden/>
    <w:unhideWhenUsed/>
    <w:rsid w:val="004758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758BE"/>
    <w:rPr>
      <w:sz w:val="20"/>
      <w:szCs w:val="20"/>
    </w:rPr>
  </w:style>
  <w:style w:type="character" w:styleId="FootnoteReference">
    <w:name w:val="footnote reference"/>
    <w:semiHidden/>
    <w:unhideWhenUsed/>
    <w:rsid w:val="004758BE"/>
    <w:rPr>
      <w:vertAlign w:val="superscript"/>
    </w:rPr>
  </w:style>
  <w:style w:type="character" w:styleId="Hyperlink">
    <w:name w:val="Hyperlink"/>
    <w:uiPriority w:val="99"/>
    <w:unhideWhenUsed/>
    <w:rsid w:val="004758BE"/>
    <w:rPr>
      <w:color w:val="0000FF"/>
      <w:u w:val="single"/>
    </w:rPr>
  </w:style>
  <w:style w:type="character" w:customStyle="1" w:styleId="sf077682b">
    <w:name w:val="sf077682b"/>
    <w:basedOn w:val="DefaultParagraphFont"/>
    <w:rsid w:val="004758BE"/>
  </w:style>
  <w:style w:type="character" w:customStyle="1" w:styleId="s8ba61951">
    <w:name w:val="s8ba61951"/>
    <w:basedOn w:val="DefaultParagraphFont"/>
    <w:rsid w:val="004758BE"/>
  </w:style>
  <w:style w:type="character" w:customStyle="1" w:styleId="sae070d1d">
    <w:name w:val="sae070d1d"/>
    <w:basedOn w:val="DefaultParagraphFont"/>
    <w:rsid w:val="004758BE"/>
  </w:style>
  <w:style w:type="character" w:customStyle="1" w:styleId="sff2517bf">
    <w:name w:val="sff2517bf"/>
    <w:basedOn w:val="DefaultParagraphFont"/>
    <w:rsid w:val="004758BE"/>
  </w:style>
  <w:style w:type="paragraph" w:customStyle="1" w:styleId="ColorfulList-Accent11">
    <w:name w:val="Colorful List - Accent 11"/>
    <w:basedOn w:val="Normal"/>
    <w:uiPriority w:val="34"/>
    <w:qFormat/>
    <w:rsid w:val="00341C59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D505EA"/>
    <w:pPr>
      <w:ind w:left="720"/>
      <w:contextualSpacing/>
    </w:pPr>
  </w:style>
  <w:style w:type="character" w:customStyle="1" w:styleId="sb8d990e2">
    <w:name w:val="sb8d990e2"/>
    <w:rsid w:val="008A26C7"/>
  </w:style>
  <w:style w:type="paragraph" w:styleId="Header">
    <w:name w:val="header"/>
    <w:basedOn w:val="Normal"/>
    <w:link w:val="HeaderChar"/>
    <w:uiPriority w:val="99"/>
    <w:unhideWhenUsed/>
    <w:rsid w:val="002F1B5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F1B5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F1B5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F1B5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AB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AB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9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22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8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46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1718</Words>
  <Characters>9798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/</vt:lpstr>
      <vt:lpstr>Sloboda izražavanja – presude Evropskog suda za ljudska prava </vt:lpstr>
      <vt:lpstr>Bilten XXIX: Opscenost i javni moral</vt:lpstr>
    </vt:vector>
  </TitlesOfParts>
  <Company/>
  <LinksUpToDate>false</LinksUpToDate>
  <CharactersWithSpaces>11494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Noorlander</dc:creator>
  <cp:keywords/>
  <cp:lastModifiedBy>Slobodan Dumnić</cp:lastModifiedBy>
  <cp:revision>3</cp:revision>
  <cp:lastPrinted>2013-07-29T13:44:00Z</cp:lastPrinted>
  <dcterms:created xsi:type="dcterms:W3CDTF">2014-02-13T21:02:00Z</dcterms:created>
  <dcterms:modified xsi:type="dcterms:W3CDTF">2014-02-14T09:10:00Z</dcterms:modified>
</cp:coreProperties>
</file>