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4.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5.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theme/themeOverride7.xml" ContentType="application/vnd.openxmlformats-officedocument.themeOverrid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10.xml" ContentType="application/vnd.openxmlformats-officedocument.themeOverrid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000000">
      <w:pPr>
        <w:pStyle w:val="NoSpacing"/>
        <w:jc w:val="center"/>
        <w:rPr>
          <w:rFonts w:ascii="Arial" w:hAnsi="Arial" w:cs="Arial"/>
          <w:b/>
          <w:bCs/>
          <w:color w:val="4472C4" w:themeColor="accent1"/>
          <w:sz w:val="32"/>
          <w:szCs w:val="32"/>
          <w:lang w:val="sr-Latn-ME"/>
        </w:rPr>
      </w:pPr>
      <w:r>
        <w:rPr>
          <w:rFonts w:ascii="Arial" w:hAnsi="Arial" w:cs="Arial"/>
          <w:b/>
          <w:bCs/>
          <w:color w:val="4472C4" w:themeColor="accent1"/>
          <w:sz w:val="32"/>
          <w:szCs w:val="32"/>
          <w:lang w:val="sr-Latn-ME"/>
        </w:rPr>
        <w:t xml:space="preserve"> REZULTATI ISTRAŽIVANJA</w:t>
      </w:r>
    </w:p>
    <w:p w:rsidR="00E15318" w:rsidRDefault="00E15318">
      <w:pPr>
        <w:pStyle w:val="NoSpacing"/>
        <w:jc w:val="center"/>
        <w:rPr>
          <w:rFonts w:ascii="Arial" w:hAnsi="Arial" w:cs="Arial"/>
          <w:b/>
          <w:bCs/>
          <w:color w:val="4472C4" w:themeColor="accent1"/>
          <w:sz w:val="32"/>
          <w:szCs w:val="32"/>
          <w:lang w:val="sr-Latn-ME"/>
        </w:rPr>
      </w:pPr>
    </w:p>
    <w:p w:rsidR="00E15318" w:rsidRDefault="00E15318">
      <w:pPr>
        <w:pStyle w:val="NoSpacing"/>
        <w:jc w:val="center"/>
        <w:rPr>
          <w:rFonts w:ascii="Arial" w:hAnsi="Arial" w:cs="Arial"/>
          <w:b/>
          <w:bCs/>
          <w:color w:val="4472C4" w:themeColor="accent1"/>
          <w:sz w:val="32"/>
          <w:szCs w:val="32"/>
          <w:lang w:val="sr-Latn-ME"/>
        </w:rPr>
      </w:pPr>
    </w:p>
    <w:p w:rsidR="00E15318" w:rsidRDefault="00000000">
      <w:pPr>
        <w:pStyle w:val="NoSpacing"/>
        <w:jc w:val="center"/>
        <w:rPr>
          <w:rFonts w:ascii="Arial" w:hAnsi="Arial" w:cs="Arial"/>
          <w:b/>
          <w:bCs/>
          <w:color w:val="4472C4" w:themeColor="accent1"/>
          <w:sz w:val="32"/>
          <w:szCs w:val="32"/>
          <w:lang w:val="sr-Latn-ME"/>
        </w:rPr>
      </w:pPr>
      <w:r>
        <w:rPr>
          <w:rFonts w:ascii="Arial" w:hAnsi="Arial" w:cs="Arial"/>
          <w:b/>
          <w:bCs/>
          <w:color w:val="4472C4" w:themeColor="accent1"/>
          <w:sz w:val="32"/>
          <w:szCs w:val="32"/>
          <w:lang w:val="sr-Latn-ME"/>
        </w:rPr>
        <w:t>„Stavovi i mišljenja građana Herceg Novog o deportaciji bosansko-hercegovačkih izbjeglica iz Crne Gore 1992.“</w:t>
      </w: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000000">
      <w:pPr>
        <w:jc w:val="center"/>
        <w:rPr>
          <w:rFonts w:ascii="Arial" w:hAnsi="Arial" w:cs="Arial"/>
          <w:b/>
          <w:bCs/>
          <w:color w:val="4472C4" w:themeColor="accent1"/>
          <w:lang w:val="sr-Latn-ME"/>
        </w:rPr>
      </w:pPr>
      <w:r>
        <w:rPr>
          <w:rFonts w:ascii="Arial" w:hAnsi="Arial" w:cs="Arial"/>
          <w:b/>
          <w:bCs/>
          <w:color w:val="4472C4" w:themeColor="accent1"/>
          <w:lang w:val="sr-Latn-ME"/>
        </w:rPr>
        <w:t>Maj 2024.</w:t>
      </w: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000000">
      <w:pPr>
        <w:pStyle w:val="WPSOffice1"/>
        <w:tabs>
          <w:tab w:val="right" w:pos="9026"/>
        </w:tabs>
        <w:spacing w:line="360" w:lineRule="auto"/>
        <w:rPr>
          <w:rFonts w:ascii="Times New Roman" w:hAnsi="Times New Roman" w:cs="Times New Roman"/>
          <w:b/>
          <w:sz w:val="18"/>
          <w:szCs w:val="18"/>
          <w:lang w:val="sr-Latn-ME"/>
        </w:rPr>
      </w:pPr>
      <w:hyperlink w:anchor="_Toc25022" w:history="1">
        <w:r>
          <w:rPr>
            <w:rFonts w:ascii="Times New Roman" w:hAnsi="Times New Roman" w:cs="Times New Roman"/>
            <w:b/>
            <w:sz w:val="18"/>
            <w:szCs w:val="18"/>
            <w:lang w:val="sr-Latn-ME"/>
          </w:rPr>
          <w:t>UVOD</w:t>
        </w:r>
        <w:r>
          <w:rPr>
            <w:rFonts w:ascii="Times New Roman" w:hAnsi="Times New Roman" w:cs="Times New Roman"/>
            <w:b/>
            <w:sz w:val="18"/>
            <w:szCs w:val="18"/>
            <w:lang w:val="sr-Latn-ME"/>
          </w:rPr>
          <w:tab/>
          <w:t>3</w:t>
        </w:r>
      </w:hyperlink>
    </w:p>
    <w:p w:rsidR="00E15318" w:rsidRDefault="00000000">
      <w:pPr>
        <w:pStyle w:val="WPSOffice1"/>
        <w:tabs>
          <w:tab w:val="right" w:pos="9026"/>
        </w:tabs>
        <w:spacing w:line="360" w:lineRule="auto"/>
        <w:rPr>
          <w:rFonts w:ascii="Times New Roman" w:hAnsi="Times New Roman" w:cs="Times New Roman"/>
          <w:b/>
          <w:sz w:val="18"/>
          <w:szCs w:val="18"/>
          <w:lang w:val="sr-Latn-ME"/>
        </w:rPr>
      </w:pPr>
      <w:hyperlink w:anchor="_Toc24450" w:history="1">
        <w:r>
          <w:rPr>
            <w:rFonts w:ascii="Times New Roman" w:hAnsi="Times New Roman" w:cs="Times New Roman"/>
            <w:b/>
            <w:sz w:val="18"/>
            <w:szCs w:val="18"/>
            <w:lang w:val="sr-Latn-ME"/>
          </w:rPr>
          <w:t>KLJUČNI NALAZI ISTRAŽIVANJA</w:t>
        </w:r>
        <w:r>
          <w:rPr>
            <w:rFonts w:ascii="Times New Roman" w:hAnsi="Times New Roman" w:cs="Times New Roman"/>
            <w:b/>
            <w:sz w:val="18"/>
            <w:szCs w:val="18"/>
            <w:lang w:val="sr-Latn-ME"/>
          </w:rPr>
          <w:tab/>
          <w:t>4</w:t>
        </w:r>
      </w:hyperlink>
    </w:p>
    <w:p w:rsidR="00E15318" w:rsidRDefault="00000000">
      <w:pPr>
        <w:pStyle w:val="WPSOffice1"/>
        <w:tabs>
          <w:tab w:val="right" w:pos="9026"/>
        </w:tabs>
        <w:spacing w:line="360" w:lineRule="auto"/>
        <w:rPr>
          <w:rFonts w:ascii="Times New Roman" w:hAnsi="Times New Roman" w:cs="Times New Roman"/>
          <w:b/>
          <w:sz w:val="18"/>
          <w:szCs w:val="18"/>
          <w:lang w:val="sr-Latn-ME"/>
        </w:rPr>
      </w:pPr>
      <w:hyperlink w:anchor="_Toc25741" w:history="1">
        <w:r>
          <w:rPr>
            <w:rFonts w:ascii="Times New Roman" w:hAnsi="Times New Roman" w:cs="Times New Roman"/>
            <w:b/>
            <w:sz w:val="18"/>
            <w:szCs w:val="18"/>
            <w:lang w:val="sr-Latn-ME"/>
          </w:rPr>
          <w:t>METODOLOGIJA</w:t>
        </w:r>
        <w:r>
          <w:rPr>
            <w:rFonts w:ascii="Times New Roman" w:hAnsi="Times New Roman" w:cs="Times New Roman"/>
            <w:b/>
            <w:sz w:val="18"/>
            <w:szCs w:val="18"/>
            <w:lang w:val="sr-Latn-ME"/>
          </w:rPr>
          <w:tab/>
          <w:t>6</w:t>
        </w:r>
      </w:hyperlink>
    </w:p>
    <w:p w:rsidR="00E15318" w:rsidRDefault="00000000">
      <w:pPr>
        <w:pStyle w:val="WPSOffice1"/>
        <w:tabs>
          <w:tab w:val="right" w:pos="9026"/>
        </w:tabs>
        <w:spacing w:line="360" w:lineRule="auto"/>
        <w:ind w:left="723" w:hangingChars="400" w:hanging="723"/>
        <w:rPr>
          <w:rFonts w:ascii="Times New Roman" w:hAnsi="Times New Roman" w:cs="Times New Roman"/>
          <w:b/>
          <w:sz w:val="18"/>
          <w:szCs w:val="18"/>
          <w:lang w:val="sr-Latn-ME"/>
        </w:rPr>
      </w:pPr>
      <w:r>
        <w:rPr>
          <w:rFonts w:ascii="Times New Roman" w:hAnsi="Times New Roman" w:cs="Times New Roman"/>
          <w:b/>
          <w:bCs/>
          <w:sz w:val="18"/>
          <w:szCs w:val="18"/>
          <w:lang w:val="sr-Latn-ME"/>
        </w:rPr>
        <w:fldChar w:fldCharType="begin"/>
      </w:r>
      <w:r>
        <w:rPr>
          <w:rFonts w:ascii="Times New Roman" w:hAnsi="Times New Roman" w:cs="Times New Roman"/>
          <w:b/>
          <w:bCs/>
          <w:sz w:val="18"/>
          <w:szCs w:val="18"/>
          <w:lang w:val="sr-Latn-ME"/>
        </w:rPr>
        <w:instrText xml:space="preserve"> HYPERLINK \l _Toc31639 </w:instrText>
      </w:r>
      <w:r>
        <w:rPr>
          <w:rFonts w:ascii="Times New Roman" w:hAnsi="Times New Roman" w:cs="Times New Roman"/>
          <w:b/>
          <w:bCs/>
          <w:sz w:val="18"/>
          <w:szCs w:val="18"/>
          <w:lang w:val="sr-Latn-ME"/>
        </w:rPr>
      </w:r>
      <w:r>
        <w:rPr>
          <w:rFonts w:ascii="Times New Roman" w:hAnsi="Times New Roman" w:cs="Times New Roman"/>
          <w:b/>
          <w:bCs/>
          <w:sz w:val="18"/>
          <w:szCs w:val="18"/>
          <w:lang w:val="sr-Latn-ME"/>
        </w:rPr>
        <w:fldChar w:fldCharType="separate"/>
      </w:r>
      <w:r>
        <w:rPr>
          <w:rFonts w:ascii="Times New Roman" w:hAnsi="Times New Roman" w:cs="Times New Roman"/>
          <w:b/>
          <w:sz w:val="18"/>
          <w:szCs w:val="18"/>
          <w:lang w:val="sr-Latn-ME"/>
        </w:rPr>
        <w:t xml:space="preserve">DEMOGRAFIJA                                                                                                                                                                          </w:t>
      </w:r>
    </w:p>
    <w:p w:rsidR="00E15318" w:rsidRDefault="00000000">
      <w:pPr>
        <w:pStyle w:val="WPSOffice1"/>
        <w:tabs>
          <w:tab w:val="right" w:pos="9026"/>
        </w:tabs>
        <w:spacing w:line="360" w:lineRule="auto"/>
        <w:rPr>
          <w:rFonts w:ascii="Times New Roman" w:hAnsi="Times New Roman" w:cs="Times New Roman"/>
          <w:b/>
          <w:sz w:val="18"/>
          <w:szCs w:val="18"/>
          <w:lang w:val="sr-Latn-ME"/>
        </w:rPr>
      </w:pPr>
      <w:r>
        <w:rPr>
          <w:rFonts w:ascii="Times New Roman" w:hAnsi="Times New Roman" w:cs="Times New Roman"/>
          <w:b/>
          <w:sz w:val="18"/>
          <w:szCs w:val="18"/>
          <w:lang w:val="sr-Latn-ME"/>
        </w:rPr>
        <w:t>ISTRAŽIVAČKA PITANJA</w:t>
      </w:r>
      <w:r>
        <w:rPr>
          <w:rFonts w:ascii="Times New Roman" w:hAnsi="Times New Roman" w:cs="Times New Roman"/>
          <w:b/>
          <w:sz w:val="18"/>
          <w:szCs w:val="18"/>
          <w:lang w:val="sr-Latn-ME"/>
        </w:rPr>
        <w:tab/>
        <w:t>7</w:t>
      </w:r>
      <w:r>
        <w:rPr>
          <w:rFonts w:ascii="Times New Roman" w:hAnsi="Times New Roman" w:cs="Times New Roman"/>
          <w:b/>
          <w:bCs/>
          <w:sz w:val="18"/>
          <w:szCs w:val="18"/>
          <w:lang w:val="sr-Latn-ME"/>
        </w:rPr>
        <w:fldChar w:fldCharType="end"/>
      </w:r>
    </w:p>
    <w:p w:rsidR="00E15318" w:rsidRDefault="00000000">
      <w:pPr>
        <w:pStyle w:val="ListParagraph"/>
        <w:numPr>
          <w:ilvl w:val="0"/>
          <w:numId w:val="1"/>
        </w:numPr>
        <w:ind w:leftChars="200" w:left="440"/>
        <w:rPr>
          <w:rFonts w:ascii="Times New Roman" w:hAnsi="Times New Roman" w:cs="Times New Roman"/>
          <w:sz w:val="18"/>
          <w:szCs w:val="18"/>
          <w:lang w:val="sr-Latn-ME"/>
        </w:rPr>
      </w:pPr>
      <w:r>
        <w:rPr>
          <w:lang w:val="sr-Latn-RS"/>
        </w:rPr>
        <w:t xml:space="preserve"> </w:t>
      </w:r>
      <w:hyperlink w:anchor="_Toc8293" w:history="1">
        <w:r>
          <w:rPr>
            <w:rFonts w:ascii="Times New Roman" w:hAnsi="Times New Roman" w:cs="Times New Roman"/>
            <w:sz w:val="18"/>
            <w:szCs w:val="18"/>
            <w:lang w:val="sr-Latn-ME"/>
          </w:rPr>
          <w:t>Da li je Crna Gora učestvovala u ratu u Bosni i Hercegovini (1992-1995)?</w:t>
        </w:r>
        <w:r>
          <w:rPr>
            <w:rFonts w:ascii="Times New Roman" w:hAnsi="Times New Roman" w:cs="Times New Roman"/>
            <w:sz w:val="18"/>
            <w:szCs w:val="18"/>
            <w:lang w:val="sr-Latn-ME"/>
          </w:rPr>
          <w:tab/>
        </w:r>
        <w:r>
          <w:rPr>
            <w:rFonts w:ascii="Times New Roman" w:hAnsi="Times New Roman" w:cs="Times New Roman"/>
            <w:sz w:val="18"/>
            <w:szCs w:val="18"/>
            <w:lang w:val="sr-Latn-RS"/>
          </w:rPr>
          <w:t xml:space="preserve">                                                      </w:t>
        </w:r>
        <w:r>
          <w:rPr>
            <w:rFonts w:ascii="Times New Roman" w:hAnsi="Times New Roman" w:cs="Times New Roman"/>
            <w:sz w:val="18"/>
            <w:szCs w:val="18"/>
            <w:lang w:val="sr-Latn-ME"/>
          </w:rPr>
          <w:t>7</w:t>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2. </w:t>
      </w:r>
      <w:hyperlink w:anchor="_Toc7915" w:history="1">
        <w:r>
          <w:rPr>
            <w:rFonts w:ascii="Times New Roman" w:hAnsi="Times New Roman" w:cs="Times New Roman"/>
            <w:sz w:val="18"/>
            <w:szCs w:val="18"/>
            <w:lang w:val="sr-Latn-ME"/>
          </w:rPr>
          <w:t>Da li ste upoznati sa deportacijom bosansko-hercegovačkih izbjeglica iz Centra bezbjednosti Herceg-Novi u maju 1992. godine?</w:t>
        </w:r>
        <w:r>
          <w:rPr>
            <w:rFonts w:ascii="Times New Roman" w:hAnsi="Times New Roman" w:cs="Times New Roman"/>
            <w:sz w:val="18"/>
            <w:szCs w:val="18"/>
            <w:lang w:val="sr-Latn-ME"/>
          </w:rPr>
          <w:tab/>
          <w:t>8</w:t>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3. </w:t>
      </w:r>
      <w:hyperlink w:anchor="_Toc7290" w:history="1">
        <w:r>
          <w:rPr>
            <w:rFonts w:ascii="Times New Roman" w:hAnsi="Times New Roman" w:cs="Times New Roman"/>
            <w:sz w:val="18"/>
            <w:szCs w:val="18"/>
            <w:lang w:val="sr-Latn-ME"/>
          </w:rPr>
          <w:t xml:space="preserve">Koliko ste upoznati sa činjenicama u vezi deportacije bosansko-hercegovačkih izbjeglica iz maja 1992. godine? </w:t>
        </w:r>
        <w:r>
          <w:rPr>
            <w:rFonts w:ascii="Times New Roman" w:hAnsi="Times New Roman" w:cs="Times New Roman"/>
            <w:sz w:val="18"/>
            <w:szCs w:val="18"/>
            <w:lang w:val="sr-Latn-ME"/>
          </w:rPr>
          <w:tab/>
          <w:t>9</w:t>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4. </w:t>
      </w:r>
      <w:hyperlink w:anchor="_Toc14486" w:history="1">
        <w:r>
          <w:rPr>
            <w:rFonts w:ascii="Times New Roman" w:hAnsi="Times New Roman" w:cs="Times New Roman"/>
            <w:sz w:val="18"/>
            <w:szCs w:val="18"/>
            <w:lang w:val="sr-Latn-ME"/>
          </w:rPr>
          <w:t>Koji je Vaš glavni izvor informacija o ovom događaju?</w:t>
        </w:r>
        <w:r>
          <w:rPr>
            <w:rFonts w:ascii="Times New Roman" w:hAnsi="Times New Roman" w:cs="Times New Roman"/>
            <w:sz w:val="18"/>
            <w:szCs w:val="18"/>
            <w:lang w:val="sr-Latn-ME"/>
          </w:rPr>
          <w:tab/>
          <w:t>10</w:t>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5. </w:t>
      </w:r>
      <w:hyperlink w:anchor="_Toc25943" w:history="1">
        <w:r>
          <w:rPr>
            <w:rFonts w:ascii="Times New Roman" w:hAnsi="Times New Roman" w:cs="Times New Roman"/>
            <w:sz w:val="18"/>
            <w:szCs w:val="18"/>
            <w:lang w:val="sr-Latn-ME"/>
          </w:rPr>
          <w:t>Zbog čega su po Vašem mišljenju deportovane bosansko-hercegovačke izbjeglice iz Crne Gore?</w:t>
        </w:r>
        <w:r>
          <w:rPr>
            <w:rFonts w:ascii="Times New Roman" w:hAnsi="Times New Roman" w:cs="Times New Roman"/>
            <w:sz w:val="18"/>
            <w:szCs w:val="18"/>
            <w:lang w:val="sr-Latn-ME"/>
          </w:rPr>
          <w:tab/>
          <w:t>11</w:t>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6. </w:t>
      </w:r>
      <w:hyperlink w:anchor="_Toc23943" w:history="1">
        <w:r>
          <w:rPr>
            <w:rFonts w:ascii="Times New Roman" w:hAnsi="Times New Roman" w:cs="Times New Roman"/>
            <w:sz w:val="18"/>
            <w:szCs w:val="18"/>
            <w:lang w:val="sr-Latn-ME"/>
          </w:rPr>
          <w:t>Da li su deportovane izbjeglice bile civili?</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_Toc23943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12</w:t>
        </w:r>
        <w:r>
          <w:rPr>
            <w:rFonts w:ascii="Times New Roman" w:hAnsi="Times New Roman" w:cs="Times New Roman"/>
            <w:sz w:val="18"/>
            <w:szCs w:val="18"/>
            <w:lang w:val="sr-Latn-ME"/>
          </w:rPr>
          <w:fldChar w:fldCharType="end"/>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7. </w:t>
      </w:r>
      <w:hyperlink w:anchor="_Toc13457" w:history="1">
        <w:r>
          <w:rPr>
            <w:rFonts w:ascii="Times New Roman" w:hAnsi="Times New Roman" w:cs="Times New Roman"/>
            <w:sz w:val="18"/>
            <w:szCs w:val="18"/>
            <w:lang w:val="sr-Latn-ME"/>
          </w:rPr>
          <w:t>Da li je ta deportacija bila opravdana?</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_Toc13457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13</w:t>
        </w:r>
        <w:r>
          <w:rPr>
            <w:rFonts w:ascii="Times New Roman" w:hAnsi="Times New Roman" w:cs="Times New Roman"/>
            <w:sz w:val="18"/>
            <w:szCs w:val="18"/>
            <w:lang w:val="sr-Latn-ME"/>
          </w:rPr>
          <w:fldChar w:fldCharType="end"/>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8. </w:t>
      </w:r>
      <w:hyperlink w:anchor="_Toc32726" w:history="1">
        <w:r>
          <w:rPr>
            <w:rFonts w:ascii="Times New Roman" w:hAnsi="Times New Roman" w:cs="Times New Roman"/>
            <w:sz w:val="18"/>
            <w:szCs w:val="18"/>
            <w:lang w:val="sr-Latn-ME"/>
          </w:rPr>
          <w:t>Da li ste upoznali neku žrtvu deportacije ili člana njene porodice?</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_Toc32726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14</w:t>
        </w:r>
        <w:r>
          <w:rPr>
            <w:rFonts w:ascii="Times New Roman" w:hAnsi="Times New Roman" w:cs="Times New Roman"/>
            <w:sz w:val="18"/>
            <w:szCs w:val="18"/>
            <w:lang w:val="sr-Latn-ME"/>
          </w:rPr>
          <w:fldChar w:fldCharType="end"/>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9. </w:t>
      </w:r>
      <w:hyperlink w:anchor="_Toc16209" w:history="1">
        <w:r>
          <w:rPr>
            <w:rFonts w:ascii="Times New Roman" w:hAnsi="Times New Roman" w:cs="Times New Roman"/>
            <w:sz w:val="18"/>
            <w:szCs w:val="18"/>
            <w:lang w:val="sr-Latn-ME"/>
          </w:rPr>
          <w:t>Da li ste upoznati sa tim koliko je izbjeglica deportovano iz CB Herceg Novi, i koliko je njih stradalo nakon izručenja?</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_Toc16209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15</w:t>
        </w:r>
        <w:r>
          <w:rPr>
            <w:rFonts w:ascii="Times New Roman" w:hAnsi="Times New Roman" w:cs="Times New Roman"/>
            <w:sz w:val="18"/>
            <w:szCs w:val="18"/>
            <w:lang w:val="sr-Latn-ME"/>
          </w:rPr>
          <w:fldChar w:fldCharType="end"/>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10. </w:t>
      </w:r>
      <w:hyperlink w:anchor="_Toc9648" w:history="1">
        <w:r>
          <w:rPr>
            <w:rFonts w:ascii="Times New Roman" w:hAnsi="Times New Roman" w:cs="Times New Roman"/>
            <w:sz w:val="18"/>
            <w:szCs w:val="18"/>
            <w:lang w:val="sr-Latn-ME"/>
          </w:rPr>
          <w:t>Ko je, po Vašem mišljenju, odgovoran za deportaciju bosansko-hercegovačkih izbjeglica u maju 1992. godine?</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_Toc9648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16</w:t>
        </w:r>
        <w:r>
          <w:rPr>
            <w:rFonts w:ascii="Times New Roman" w:hAnsi="Times New Roman" w:cs="Times New Roman"/>
            <w:sz w:val="18"/>
            <w:szCs w:val="18"/>
            <w:lang w:val="sr-Latn-ME"/>
          </w:rPr>
          <w:fldChar w:fldCharType="end"/>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11. </w:t>
      </w:r>
      <w:hyperlink w:anchor="_Toc10768" w:history="1">
        <w:r>
          <w:rPr>
            <w:rFonts w:ascii="Times New Roman" w:hAnsi="Times New Roman" w:cs="Times New Roman"/>
            <w:sz w:val="18"/>
            <w:szCs w:val="18"/>
            <w:lang w:val="sr-Latn-ME"/>
          </w:rPr>
          <w:t>Da li ste, u principu, za to da se obilježe mjesta ratnih zločina i važnih istorijskih događaja?</w:t>
        </w:r>
        <w:r>
          <w:rPr>
            <w:rFonts w:ascii="Times New Roman" w:hAnsi="Times New Roman" w:cs="Times New Roman"/>
            <w:sz w:val="18"/>
            <w:szCs w:val="18"/>
            <w:lang w:val="sr-Latn-ME"/>
          </w:rPr>
          <w:tab/>
          <w:t>17</w:t>
        </w:r>
      </w:hyperlink>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12. </w:t>
      </w:r>
      <w:hyperlink w:anchor="_Toc17575" w:history="1">
        <w:r>
          <w:rPr>
            <w:rFonts w:ascii="Times New Roman" w:hAnsi="Times New Roman" w:cs="Times New Roman"/>
            <w:sz w:val="18"/>
            <w:szCs w:val="18"/>
            <w:lang w:val="sr-Latn-ME"/>
          </w:rPr>
          <w:t xml:space="preserve">Da li ste za ili protiv podizanja spomenika žrtvama deportacije bosansko-hercegovačkih izbjeglica iz maja 1992. </w:t>
        </w:r>
        <w:r>
          <w:rPr>
            <w:rFonts w:ascii="Times New Roman" w:hAnsi="Times New Roman" w:cs="Times New Roman"/>
            <w:sz w:val="18"/>
            <w:szCs w:val="18"/>
            <w:lang w:val="sr-Latn-RS"/>
          </w:rPr>
          <w:t xml:space="preserve">1 </w:t>
        </w:r>
        <w:r>
          <w:rPr>
            <w:rFonts w:ascii="Times New Roman" w:hAnsi="Times New Roman" w:cs="Times New Roman"/>
            <w:sz w:val="18"/>
            <w:szCs w:val="18"/>
            <w:lang w:val="sr-Latn-ME"/>
          </w:rPr>
          <w:t>godine ispred Centra bezbjednosti u Herceg-Novom?</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_Toc17575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w:t>
        </w:r>
        <w:r>
          <w:rPr>
            <w:rFonts w:ascii="Times New Roman" w:hAnsi="Times New Roman" w:cs="Times New Roman"/>
            <w:sz w:val="18"/>
            <w:szCs w:val="18"/>
            <w:lang w:val="sr-Latn-ME"/>
          </w:rPr>
          <w:fldChar w:fldCharType="end"/>
        </w:r>
      </w:hyperlink>
      <w:r>
        <w:rPr>
          <w:rFonts w:ascii="Times New Roman" w:hAnsi="Times New Roman" w:cs="Times New Roman"/>
          <w:bCs/>
          <w:sz w:val="18"/>
          <w:szCs w:val="18"/>
          <w:lang w:val="sr-Latn-ME"/>
        </w:rPr>
        <w:t>7</w:t>
      </w:r>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13. </w:t>
      </w:r>
      <w:hyperlink w:anchor="_Toc19556" w:history="1">
        <w:r>
          <w:rPr>
            <w:rFonts w:ascii="Times New Roman" w:hAnsi="Times New Roman" w:cs="Times New Roman"/>
            <w:sz w:val="18"/>
            <w:szCs w:val="18"/>
            <w:lang w:val="sr-Latn-ME"/>
          </w:rPr>
          <w:t>Koliko smatrate da je važno da se u obrazovnom sistemu detaljno proučava lokalna i nacionalna istorija, uključujući i činjenice o ratnim zločinima i drugim teškim kršenjima ljudskih prava?</w:t>
        </w:r>
        <w:r>
          <w:rPr>
            <w:rFonts w:ascii="Times New Roman" w:hAnsi="Times New Roman" w:cs="Times New Roman"/>
            <w:sz w:val="18"/>
            <w:szCs w:val="18"/>
            <w:lang w:val="sr-Latn-ME"/>
          </w:rPr>
          <w:tab/>
        </w:r>
        <w:r>
          <w:rPr>
            <w:rFonts w:ascii="Times New Roman" w:hAnsi="Times New Roman" w:cs="Times New Roman"/>
            <w:sz w:val="18"/>
            <w:szCs w:val="18"/>
            <w:lang w:val="sr-Latn-ME"/>
          </w:rPr>
          <w:fldChar w:fldCharType="begin"/>
        </w:r>
        <w:r>
          <w:rPr>
            <w:rFonts w:ascii="Times New Roman" w:hAnsi="Times New Roman" w:cs="Times New Roman"/>
            <w:sz w:val="18"/>
            <w:szCs w:val="18"/>
            <w:lang w:val="sr-Latn-ME"/>
          </w:rPr>
          <w:instrText xml:space="preserve"> PAGEREF _Toc19556 \h </w:instrText>
        </w:r>
        <w:r>
          <w:rPr>
            <w:rFonts w:ascii="Times New Roman" w:hAnsi="Times New Roman" w:cs="Times New Roman"/>
            <w:sz w:val="18"/>
            <w:szCs w:val="18"/>
            <w:lang w:val="sr-Latn-ME"/>
          </w:rPr>
        </w:r>
        <w:r>
          <w:rPr>
            <w:rFonts w:ascii="Times New Roman" w:hAnsi="Times New Roman" w:cs="Times New Roman"/>
            <w:sz w:val="18"/>
            <w:szCs w:val="18"/>
            <w:lang w:val="sr-Latn-ME"/>
          </w:rPr>
          <w:fldChar w:fldCharType="separate"/>
        </w:r>
        <w:r>
          <w:rPr>
            <w:rFonts w:ascii="Times New Roman" w:hAnsi="Times New Roman" w:cs="Times New Roman"/>
            <w:sz w:val="18"/>
            <w:szCs w:val="18"/>
            <w:lang w:val="sr-Latn-ME"/>
          </w:rPr>
          <w:t>1</w:t>
        </w:r>
        <w:r>
          <w:rPr>
            <w:rFonts w:ascii="Times New Roman" w:hAnsi="Times New Roman" w:cs="Times New Roman"/>
            <w:sz w:val="18"/>
            <w:szCs w:val="18"/>
            <w:lang w:val="sr-Latn-ME"/>
          </w:rPr>
          <w:fldChar w:fldCharType="end"/>
        </w:r>
      </w:hyperlink>
      <w:r>
        <w:rPr>
          <w:rFonts w:ascii="Times New Roman" w:hAnsi="Times New Roman" w:cs="Times New Roman"/>
          <w:bCs/>
          <w:sz w:val="18"/>
          <w:szCs w:val="18"/>
          <w:lang w:val="sr-Latn-ME"/>
        </w:rPr>
        <w:t>9</w:t>
      </w:r>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14. </w:t>
      </w:r>
      <w:hyperlink w:anchor="_Toc29521" w:history="1">
        <w:r>
          <w:rPr>
            <w:rFonts w:ascii="Times New Roman" w:hAnsi="Times New Roman" w:cs="Times New Roman"/>
            <w:sz w:val="18"/>
            <w:szCs w:val="18"/>
            <w:lang w:val="sr-Latn-ME"/>
          </w:rPr>
          <w:t>Imate li lično iskustvo ili znate za iskustva bliskih osoba vezano za ratove na prostoru bivše Jugoslavije?</w:t>
        </w:r>
        <w:r>
          <w:rPr>
            <w:rFonts w:ascii="Times New Roman" w:hAnsi="Times New Roman" w:cs="Times New Roman"/>
            <w:sz w:val="18"/>
            <w:szCs w:val="18"/>
            <w:lang w:val="sr-Latn-ME"/>
          </w:rPr>
          <w:tab/>
        </w:r>
      </w:hyperlink>
      <w:r>
        <w:rPr>
          <w:rFonts w:ascii="Times New Roman" w:hAnsi="Times New Roman" w:cs="Times New Roman"/>
          <w:bCs/>
          <w:sz w:val="18"/>
          <w:szCs w:val="18"/>
          <w:lang w:val="sr-Latn-ME"/>
        </w:rPr>
        <w:t>20</w:t>
      </w:r>
    </w:p>
    <w:p w:rsidR="00E15318" w:rsidRDefault="00000000">
      <w:pPr>
        <w:pStyle w:val="WPSOffice2"/>
        <w:tabs>
          <w:tab w:val="right" w:pos="9026"/>
        </w:tabs>
        <w:spacing w:line="360" w:lineRule="auto"/>
        <w:ind w:left="440"/>
        <w:rPr>
          <w:rFonts w:ascii="Times New Roman" w:hAnsi="Times New Roman" w:cs="Times New Roman"/>
          <w:sz w:val="18"/>
          <w:szCs w:val="18"/>
          <w:lang w:val="sr-Latn-ME"/>
        </w:rPr>
      </w:pPr>
      <w:r>
        <w:rPr>
          <w:lang w:val="sr-Latn-RS"/>
        </w:rPr>
        <w:t xml:space="preserve">15. </w:t>
      </w:r>
      <w:hyperlink w:anchor="_Toc1040" w:history="1">
        <w:r>
          <w:rPr>
            <w:rFonts w:ascii="Times New Roman" w:hAnsi="Times New Roman" w:cs="Times New Roman"/>
            <w:sz w:val="18"/>
            <w:szCs w:val="18"/>
            <w:lang w:val="sr-Latn-ME"/>
          </w:rPr>
          <w:t>Koje aktivnosti smatrate važnim za unapređenje suočavanja sa prošlošću i promovisanje pomirenja?</w:t>
        </w:r>
        <w:r>
          <w:rPr>
            <w:rFonts w:ascii="Times New Roman" w:hAnsi="Times New Roman" w:cs="Times New Roman"/>
            <w:sz w:val="18"/>
            <w:szCs w:val="18"/>
            <w:lang w:val="sr-Latn-ME"/>
          </w:rPr>
          <w:tab/>
          <w:t>2</w:t>
        </w:r>
      </w:hyperlink>
      <w:r>
        <w:rPr>
          <w:rFonts w:ascii="Times New Roman" w:hAnsi="Times New Roman" w:cs="Times New Roman"/>
          <w:bCs/>
          <w:sz w:val="18"/>
          <w:szCs w:val="18"/>
          <w:lang w:val="sr-Latn-ME"/>
        </w:rPr>
        <w:t>1</w:t>
      </w:r>
    </w:p>
    <w:p w:rsidR="00E15318" w:rsidRDefault="00000000">
      <w:pPr>
        <w:rPr>
          <w:rFonts w:ascii="Arial" w:hAnsi="Arial" w:cs="Arial"/>
          <w:b/>
          <w:bCs/>
          <w:color w:val="5B9BD5" w:themeColor="accent5"/>
          <w:lang w:val="sr-Latn-ME"/>
        </w:rPr>
      </w:pPr>
      <w:r>
        <w:rPr>
          <w:rFonts w:ascii="Times New Roman" w:hAnsi="Times New Roman" w:cs="Times New Roman"/>
          <w:b/>
          <w:bCs/>
          <w:sz w:val="18"/>
          <w:szCs w:val="18"/>
          <w:lang w:val="sr-Latn-ME"/>
        </w:rPr>
        <w:t xml:space="preserve">        </w:t>
      </w:r>
      <w:hyperlink w:anchor="_Toc14325" w:history="1">
        <w:r>
          <w:rPr>
            <w:rFonts w:ascii="Times New Roman" w:hAnsi="Times New Roman" w:cs="Times New Roman"/>
            <w:b/>
            <w:sz w:val="18"/>
            <w:szCs w:val="18"/>
            <w:lang w:val="sr-Latn-ME"/>
          </w:rPr>
          <w:t>Zaključak istraživanja</w:t>
        </w:r>
        <w:r>
          <w:rPr>
            <w:rFonts w:ascii="Times New Roman" w:hAnsi="Times New Roman" w:cs="Times New Roman"/>
            <w:b/>
            <w:sz w:val="18"/>
            <w:szCs w:val="18"/>
            <w:lang w:val="sr-Latn-ME"/>
          </w:rPr>
          <w:tab/>
          <w:t xml:space="preserve">                                                               </w:t>
        </w:r>
        <w:r>
          <w:rPr>
            <w:rFonts w:ascii="Times New Roman" w:hAnsi="Times New Roman" w:cs="Times New Roman"/>
            <w:b/>
            <w:sz w:val="18"/>
            <w:szCs w:val="18"/>
            <w:lang w:val="sr-Latn-ME"/>
          </w:rPr>
          <w:tab/>
        </w:r>
        <w:r>
          <w:rPr>
            <w:rFonts w:ascii="Times New Roman" w:hAnsi="Times New Roman" w:cs="Times New Roman"/>
            <w:b/>
            <w:sz w:val="18"/>
            <w:szCs w:val="18"/>
            <w:lang w:val="sr-Latn-ME"/>
          </w:rPr>
          <w:tab/>
        </w:r>
        <w:r>
          <w:rPr>
            <w:rFonts w:ascii="Times New Roman" w:hAnsi="Times New Roman" w:cs="Times New Roman"/>
            <w:b/>
            <w:sz w:val="18"/>
            <w:szCs w:val="18"/>
            <w:lang w:val="sr-Latn-ME"/>
          </w:rPr>
          <w:tab/>
        </w:r>
        <w:r>
          <w:rPr>
            <w:rFonts w:ascii="Times New Roman" w:hAnsi="Times New Roman" w:cs="Times New Roman"/>
            <w:b/>
            <w:sz w:val="18"/>
            <w:szCs w:val="18"/>
            <w:lang w:val="sr-Latn-ME"/>
          </w:rPr>
          <w:tab/>
        </w:r>
        <w:r>
          <w:rPr>
            <w:rFonts w:ascii="Times New Roman" w:hAnsi="Times New Roman" w:cs="Times New Roman"/>
            <w:b/>
            <w:sz w:val="18"/>
            <w:szCs w:val="18"/>
            <w:lang w:val="sr-Latn-ME"/>
          </w:rPr>
          <w:tab/>
        </w:r>
        <w:r>
          <w:rPr>
            <w:rFonts w:ascii="Times New Roman" w:hAnsi="Times New Roman" w:cs="Times New Roman"/>
            <w:b/>
            <w:sz w:val="18"/>
            <w:szCs w:val="18"/>
            <w:lang w:val="sr-Latn-ME"/>
          </w:rPr>
          <w:tab/>
          <w:t xml:space="preserve">    2</w:t>
        </w:r>
      </w:hyperlink>
      <w:r>
        <w:rPr>
          <w:rFonts w:ascii="Times New Roman" w:hAnsi="Times New Roman" w:cs="Times New Roman"/>
          <w:b/>
          <w:bCs/>
          <w:sz w:val="18"/>
          <w:szCs w:val="18"/>
          <w:lang w:val="sr-Latn-ME"/>
        </w:rPr>
        <w:t>2</w:t>
      </w: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000000">
      <w:pPr>
        <w:pStyle w:val="NoSpacing"/>
        <w:jc w:val="both"/>
        <w:rPr>
          <w:rFonts w:ascii="Arial" w:hAnsi="Arial" w:cs="Arial"/>
          <w:b/>
          <w:bCs/>
          <w:color w:val="2F5496" w:themeColor="accent1" w:themeShade="BF"/>
          <w:lang w:val="sr-Latn-ME"/>
        </w:rPr>
      </w:pPr>
      <w:r>
        <w:rPr>
          <w:rFonts w:ascii="Arial" w:hAnsi="Arial" w:cs="Arial"/>
          <w:b/>
          <w:bCs/>
          <w:color w:val="2F5496" w:themeColor="accent1" w:themeShade="BF"/>
          <w:lang w:val="sr-Latn-ME"/>
        </w:rPr>
        <w:t xml:space="preserve">UVOD </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Ovaj izvještaj bazira se na detaljnoj analizi stavova stanovnika opštine Herceg Novi prema nekoliko ključnih društvenih i istorijskih tema, s posebnim fokusom na događaj deportacije bosansko-hercegovačkih izbjeglica u maju 1992. godine. Taj događaj predstavlja značajnu tačku u novijoj istoriji regije, obilježavajući jedan od najkontroverznijih momenata u vremenu raspada bivše Jugoslavije. Čin deportacije, koji se odigrao u kontekstu širih sukoba na Balkanu, uključivao je prisilno premještanje izbjeglica iz Herceg Novog, što je kasnije izazvalo mnoge pravne i etičke kontroverze.</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Istraživanje ima za cilj da izmjeri stepen informisanosti lokalnog stanovništva o ovom događaju, njihove stavove prema njemu, kao i njihovu percepciju odgovornosti i pravde. Pored toga, istraživanje ocjenjuje stavove građana prema inicijativama koje se tiču suočavanja s prošlošću, poput izgradnje spomenika, edukativnih programa i drugih oblika javnog dijaloga koji mogu pomoći u procesu pomirenja i kolektivnog razumijevanja.</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Istraživanje je realizovano u periodu od 11. do 18. maja 2024. godine koristeći troetapni kvotni-stratifikovani uzorak od 700 punoljetnih stanovnika opštine Herceg Novi. Pristup prikupljanju podataka bio je CAPI (Computer-Assisted Personal Interviewing) sa prosječnim trajanjem intervjua od 10 minuta. Selekcija ispitanika izvršena je kroz odabir biračkih mjesta, domaćinstava prostim slučajnim uzorkom (SRSWoR), te konačno odabir pojedinca unutar domaćinstva metodom rođendana</w:t>
      </w:r>
      <w:r>
        <w:rPr>
          <w:rStyle w:val="FootnoteReference"/>
          <w:rFonts w:ascii="Arial" w:hAnsi="Arial" w:cs="Arial"/>
          <w:lang w:val="sr-Latn-ME"/>
        </w:rPr>
        <w:footnoteReference w:id="1"/>
      </w:r>
      <w:r>
        <w:rPr>
          <w:rFonts w:ascii="Arial" w:hAnsi="Arial" w:cs="Arial"/>
          <w:lang w:val="sr-Latn-ME"/>
        </w:rPr>
        <w:t>.</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Analiza obuhvata širok spektar demografskih segmenata, s ciljem da se dobije uvid u različite perspektive koje postoje unutar zajednice. Istraživanje posebno pruža podatke o različitim pogledima na deportaciju, bazirano na starosnoj i nacionalnoj pripadnosti ispitanika.</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Ovaj izvještaj će poslužiti kao osnova za dalje razumijevanje kompleksnosti suočavanja s teškim djelovima regionalne istorije, te će potencijalno pomoći za buduće politike i inicijative koje teže ka pravdi i pomirenju.</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Svi izrazi korišteni u izvještaju u muškom rodu odnose se i na ženski rod.</w:t>
      </w:r>
    </w:p>
    <w:p w:rsidR="00E15318" w:rsidRDefault="00E15318">
      <w:pPr>
        <w:pStyle w:val="NoSpacing"/>
        <w:jc w:val="both"/>
        <w:rPr>
          <w:rFonts w:ascii="Arial" w:hAnsi="Arial" w:cs="Arial"/>
          <w:lang w:val="sr-Latn-ME"/>
        </w:rPr>
      </w:pPr>
    </w:p>
    <w:p w:rsidR="00E15318" w:rsidRDefault="00000000">
      <w:pPr>
        <w:pStyle w:val="NoSpacing"/>
        <w:jc w:val="both"/>
        <w:rPr>
          <w:rFonts w:ascii="Arial" w:hAnsi="Arial" w:cs="Arial"/>
          <w:lang w:val="sr-Latn-ME"/>
        </w:rPr>
      </w:pPr>
      <w:r>
        <w:rPr>
          <w:rFonts w:ascii="Arial" w:hAnsi="Arial" w:cs="Arial"/>
          <w:lang w:val="sr-Latn-ME"/>
        </w:rPr>
        <w:t>Ovo istraživanje je proizvedeno uz pomoć projekta Podrška EU izgradnji povjerenja na Zapadnom Balkanu, koji finansira Evropska unija a sprovodi Program Ujedinjenih nacija za razvoj (UNDP). Sadržaj ovog istraživanja je isključiva odgovornost Akcije za ljudska prava i ne odražava nužno stavove Evropske unije niti UNDP-a.</w:t>
      </w: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000000">
      <w:pPr>
        <w:pStyle w:val="NoSpacing"/>
        <w:jc w:val="both"/>
        <w:rPr>
          <w:rFonts w:ascii="Arial" w:hAnsi="Arial" w:cs="Arial"/>
          <w:b/>
          <w:bCs/>
          <w:color w:val="4472C4" w:themeColor="accent1"/>
          <w:lang w:val="sr-Latn-ME"/>
        </w:rPr>
      </w:pPr>
      <w:r>
        <w:rPr>
          <w:rFonts w:ascii="Arial" w:hAnsi="Arial" w:cs="Arial"/>
          <w:b/>
          <w:bCs/>
          <w:color w:val="4472C4" w:themeColor="accent1"/>
          <w:lang w:val="sr-Latn-ME"/>
        </w:rPr>
        <w:t>KLJUČNI NALAZI ISTRAŽIVANJA</w:t>
      </w:r>
    </w:p>
    <w:p w:rsidR="00E15318" w:rsidRDefault="00E15318">
      <w:pPr>
        <w:pStyle w:val="NoSpacing"/>
        <w:jc w:val="both"/>
        <w:rPr>
          <w:rFonts w:ascii="Arial" w:hAnsi="Arial" w:cs="Arial"/>
          <w:b/>
          <w:bCs/>
          <w:lang w:val="sr-Latn-ME"/>
        </w:rPr>
      </w:pPr>
    </w:p>
    <w:p w:rsidR="00E15318" w:rsidRDefault="00E15318">
      <w:pPr>
        <w:pStyle w:val="NoSpacing"/>
        <w:jc w:val="both"/>
        <w:rPr>
          <w:rFonts w:ascii="Arial" w:hAnsi="Arial" w:cs="Arial"/>
          <w:b/>
          <w:bCs/>
          <w:lang w:val="sr-Latn-ME"/>
        </w:rPr>
      </w:pPr>
    </w:p>
    <w:p w:rsidR="00E15318" w:rsidRDefault="00000000">
      <w:pPr>
        <w:pStyle w:val="NoSpacing"/>
        <w:numPr>
          <w:ilvl w:val="0"/>
          <w:numId w:val="2"/>
        </w:numPr>
        <w:jc w:val="both"/>
        <w:rPr>
          <w:rFonts w:ascii="Arial" w:hAnsi="Arial" w:cs="Arial"/>
          <w:b/>
          <w:bCs/>
          <w:lang w:val="sr-Latn-ME"/>
        </w:rPr>
      </w:pPr>
      <w:r>
        <w:rPr>
          <w:rFonts w:ascii="Arial" w:hAnsi="Arial" w:cs="Arial"/>
          <w:lang w:val="sr-Latn-ME"/>
        </w:rPr>
        <w:t>Oko trećine ispitanika (35,05%) smatra da je Crna Gora učestvovala u ratu u Bosni i Hercegovini, a skoro polovina (46,2%) smatra da nije.</w:t>
      </w:r>
    </w:p>
    <w:p w:rsidR="00E15318" w:rsidRDefault="00E15318">
      <w:pPr>
        <w:pStyle w:val="NoSpacing"/>
        <w:ind w:left="720"/>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sz w:val="24"/>
          <w:szCs w:val="24"/>
          <w:lang w:val="sr-Latn-ME"/>
        </w:rPr>
      </w:pPr>
      <w:r>
        <w:rPr>
          <w:rFonts w:ascii="Arial" w:hAnsi="Arial" w:cs="Arial"/>
          <w:sz w:val="24"/>
          <w:szCs w:val="24"/>
          <w:lang w:val="sr-Latn-ME"/>
        </w:rPr>
        <w:t xml:space="preserve">Skoro 2/3 građana (62.6%) je upoznato sa ovim događajem, dok značajan dio (37.4%) o tome nije informisan. </w:t>
      </w:r>
    </w:p>
    <w:p w:rsidR="00E15318" w:rsidRDefault="00E15318">
      <w:pPr>
        <w:pStyle w:val="ListParagraph"/>
        <w:jc w:val="both"/>
        <w:rPr>
          <w:rFonts w:ascii="Arial" w:hAnsi="Arial" w:cs="Arial"/>
          <w:sz w:val="10"/>
          <w:szCs w:val="10"/>
          <w:lang w:val="sr-Latn-ME"/>
        </w:rPr>
      </w:pPr>
    </w:p>
    <w:p w:rsidR="00E15318" w:rsidRDefault="00000000">
      <w:pPr>
        <w:pStyle w:val="ListParagraph"/>
        <w:numPr>
          <w:ilvl w:val="0"/>
          <w:numId w:val="2"/>
        </w:numPr>
        <w:jc w:val="both"/>
        <w:rPr>
          <w:rFonts w:ascii="Arial" w:hAnsi="Arial" w:cs="Arial"/>
          <w:sz w:val="24"/>
          <w:szCs w:val="24"/>
          <w:lang w:val="sr-Latn-ME"/>
        </w:rPr>
      </w:pPr>
      <w:r>
        <w:rPr>
          <w:rFonts w:ascii="Arial" w:hAnsi="Arial" w:cs="Arial"/>
          <w:sz w:val="24"/>
          <w:szCs w:val="24"/>
          <w:lang w:val="sr-Latn-ME"/>
        </w:rPr>
        <w:t>Nešto više od 1/3 ispitanika (35.5%), koji su upoznati sa događajem, tvrdi da su "veoma detaljno" upućeni sa činjenicama u vezi deportacije bosansko-hercegovačkih izbjeglica iz maja 1992. godine, a 61.3% ispitanika su djelimično upoznati.</w:t>
      </w:r>
    </w:p>
    <w:p w:rsidR="00E15318" w:rsidRDefault="00E15318">
      <w:pPr>
        <w:pStyle w:val="ListParagraph"/>
        <w:jc w:val="both"/>
        <w:rPr>
          <w:rFonts w:ascii="Arial" w:hAnsi="Arial" w:cs="Arial"/>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Televizija (50.8%) predstavlja glavni izvor informacija za većinu ispitanika, dok je Internet (18.8%) drugi najčešći izvor, a porodica i prijatelji (16.0%) treći.</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Skoro polovina ispitanika (47,6%) smatra da su deportovane izbjeglice bile civili, a manji dio (19,2%) da nisu. Trećina (33,3%) nije sigurna u status deportovanih</w:t>
      </w:r>
      <w:r>
        <w:rPr>
          <w:rFonts w:ascii="Arial" w:hAnsi="Arial" w:cs="Arial"/>
          <w:lang w:val="sr-Latn-ME"/>
        </w:rPr>
        <w:t>.</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Trećina ispitanika smatra da je deportacija bila sasvim ili djelimično opravdana, pri čemu 29.4% smatra da je bila potpuno opravdana, a 3.8% djelimično. Petina (19,5%) jasno izražava stav da deportacija nije bila opravdana. Skoro polovina ispitanika (47,3%) ne smatra da ima dovoljno informacija za formiranje mišljenja o opravdanosti ovog događaja.</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Veliki procenat ispitanika (89,1%) nije upoznao žrtvu deportacije ili nekog člana njene porodice, a svaki deseti ispitanik (10,9%) je upoznao</w:t>
      </w:r>
      <w:r>
        <w:rPr>
          <w:rFonts w:ascii="Arial" w:hAnsi="Arial" w:cs="Arial"/>
          <w:lang w:val="sr-Latn-ME"/>
        </w:rPr>
        <w:t>.</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Samo 5% ispitanika je upoznato sa brojem deportovanih izbjeglica, a prosječan broj koji navode je 98 osoba; 16% ispitanika zna nešto o broju onih koji su preživjeli nakon izručenja, prosječan broj koji navode je 15 osoba. Velika većina, 78.4%, nije upoznata ni sa jednim od ovih podataka</w:t>
      </w:r>
      <w:r>
        <w:rPr>
          <w:rFonts w:ascii="Arial" w:hAnsi="Arial" w:cs="Arial"/>
          <w:lang w:val="sr-Latn-ME"/>
        </w:rPr>
        <w:t xml:space="preserve">. </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sz w:val="24"/>
          <w:szCs w:val="24"/>
          <w:lang w:val="sr-Latn-ME"/>
        </w:rPr>
      </w:pPr>
      <w:r>
        <w:rPr>
          <w:rFonts w:ascii="Arial" w:hAnsi="Arial" w:cs="Arial"/>
          <w:sz w:val="24"/>
          <w:szCs w:val="24"/>
          <w:lang w:val="sr-Latn-ME"/>
        </w:rPr>
        <w:t xml:space="preserve">Najveći broj ispitanika (44.4%) smatra da su savezne vlasti SRJ glavne odgovorne za deportaciju, a petina (20,8%) vidi podijeljenu odgovornost </w:t>
      </w:r>
      <w:r>
        <w:rPr>
          <w:rFonts w:ascii="Arial" w:eastAsia="Times New Roman" w:hAnsi="Arial" w:cs="Arial"/>
          <w:kern w:val="0"/>
          <w:sz w:val="24"/>
          <w:szCs w:val="24"/>
          <w:lang w:val="sr-Latn-ME" w:eastAsia="en-GB"/>
          <w14:ligatures w14:val="none"/>
        </w:rPr>
        <w:t>vlasti Crne Gore i Republike Srpske u BiH</w:t>
      </w:r>
      <w:r>
        <w:rPr>
          <w:rFonts w:ascii="Arial" w:hAnsi="Arial" w:cs="Arial"/>
          <w:sz w:val="24"/>
          <w:szCs w:val="24"/>
          <w:lang w:val="sr-Latn-ME"/>
        </w:rPr>
        <w:t>. Skoro petina (19,2%) nije sigurna u procjenu odgovornosti. Manji broj ispitanika smatra odgovornom republičku vlast Crne Gore u to vrijeme (6.6%) i međunarodnu zajednicu (6%).</w:t>
      </w:r>
    </w:p>
    <w:p w:rsidR="00E15318" w:rsidRDefault="00E15318">
      <w:pPr>
        <w:pStyle w:val="ListParagraph"/>
        <w:jc w:val="both"/>
        <w:rPr>
          <w:rFonts w:ascii="Arial" w:hAnsi="Arial" w:cs="Arial"/>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 xml:space="preserve">Skoro polovina ispitanika se u većoj ili manjoj mjeri slaže sa tim da je važno obilježiti mjesta svih ratnih zločina i istorijskih događaja (47,8%). Znatan broj (27,2%) smatra da je vrlo važno obilježiti mjesta svih ratnih zločina i istorijskih događaja kako bi se iz prošlosti učilo i izbjeglo ponavljanje istih grešaka, dok je „uglavnom za to“ 20.6% anketiranih. Veliki procenat ispitanika (27,8%) nije siguran ili ne želi da izrazi mišljenje o ovoj temi. Približan je procenat onih koji </w:t>
      </w:r>
      <w:r>
        <w:rPr>
          <w:rFonts w:ascii="Arial" w:hAnsi="Arial" w:cs="Arial"/>
          <w:sz w:val="24"/>
          <w:szCs w:val="24"/>
          <w:lang w:val="sr-Latn-ME"/>
        </w:rPr>
        <w:lastRenderedPageBreak/>
        <w:t>su potpuno protiv (13%) i onih koji su uglavnom protiv (11.4%) obilježavanja mjesta ratnih zločina.</w:t>
      </w:r>
    </w:p>
    <w:p w:rsidR="00E15318" w:rsidRDefault="00E15318">
      <w:pPr>
        <w:pStyle w:val="ListParagraph"/>
        <w:jc w:val="both"/>
        <w:rPr>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Trećina ispitanika (33,2%) podržava podizanje spomenika</w:t>
      </w:r>
      <w:r>
        <w:rPr>
          <w:b/>
          <w:bCs/>
          <w:sz w:val="28"/>
          <w:szCs w:val="28"/>
          <w:lang w:val="sr-Latn-ME"/>
        </w:rPr>
        <w:t xml:space="preserve"> </w:t>
      </w:r>
      <w:r>
        <w:rPr>
          <w:rFonts w:ascii="Arial" w:hAnsi="Arial" w:cs="Arial"/>
          <w:sz w:val="24"/>
          <w:szCs w:val="24"/>
          <w:lang w:val="sr-Latn-ME"/>
        </w:rPr>
        <w:t>žrtvama deportacije bosansko-hercegovačkih izbjeglica iz maja 1992. godine ispred Centra bezbjednosti u Herceg-Novom, dok nešto manji procenat ispitanika (30.2%) to ne podržava. Najveći pojedinačni procenat ispitanika (36.6%) je neutralan</w:t>
      </w:r>
      <w:r>
        <w:rPr>
          <w:rFonts w:ascii="Arial" w:hAnsi="Arial" w:cs="Arial"/>
          <w:lang w:val="sr-Latn-ME"/>
        </w:rPr>
        <w:t>.</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Preko tri četvrtine ispitanika (77%) smatra da je važno uključiti i teme o ratnim zločinima i drugim teškim kršenjima ljudskih prava u obrazovni sistem. Najveći procenat ispitanika (42.2%) vidi određeni značaj uključivanja ovih tema u obrazovni sistem, ali možda s manjim naglaskom ili u manje detaljnom obimu. Preko trećine (34.8%) smatra da je izuzetno važno detaljno proučavati ovu temu u školama. Za manji dio ispitanika (7.8%) to nije značajno.</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Skoro polovina ispitanika (45.2%) ima iskustva prenesena putem porodičnih ili prijateljskih priča o ratu u bivšoj Jugoslaviji. Preko trećine ispitanika (35.4%) nema direktna lična iskustva niti su o tome čuli priče</w:t>
      </w:r>
      <w:r>
        <w:rPr>
          <w:rFonts w:ascii="Arial" w:hAnsi="Arial" w:cs="Arial"/>
          <w:lang w:val="sr-Latn-ME"/>
        </w:rPr>
        <w:t>.</w:t>
      </w:r>
    </w:p>
    <w:p w:rsidR="00E15318" w:rsidRDefault="00E15318">
      <w:pPr>
        <w:pStyle w:val="ListParagraph"/>
        <w:jc w:val="both"/>
        <w:rPr>
          <w:rFonts w:ascii="Arial" w:hAnsi="Arial" w:cs="Arial"/>
          <w:b/>
          <w:bCs/>
          <w:sz w:val="10"/>
          <w:szCs w:val="10"/>
          <w:lang w:val="sr-Latn-ME"/>
        </w:rPr>
      </w:pPr>
    </w:p>
    <w:p w:rsidR="00E15318" w:rsidRDefault="00000000">
      <w:pPr>
        <w:pStyle w:val="ListParagraph"/>
        <w:numPr>
          <w:ilvl w:val="0"/>
          <w:numId w:val="2"/>
        </w:numPr>
        <w:jc w:val="both"/>
        <w:rPr>
          <w:rFonts w:ascii="Arial" w:hAnsi="Arial" w:cs="Arial"/>
          <w:b/>
          <w:bCs/>
          <w:lang w:val="sr-Latn-ME"/>
        </w:rPr>
      </w:pPr>
      <w:r>
        <w:rPr>
          <w:rFonts w:ascii="Arial" w:hAnsi="Arial" w:cs="Arial"/>
          <w:sz w:val="24"/>
          <w:szCs w:val="24"/>
          <w:lang w:val="sr-Latn-ME"/>
        </w:rPr>
        <w:t>Najveći procenat ispitanika (22.2%) vidi direktne mjere podrške žrtvama i njihovim porodicama kao ključan element u procesu pomirenja. Značajan broj ispitanika (19.0%) ističe važnost obrazovanja kao sredstva za preispitivanje istorijskih događaja i razvijanje dubljeg razumijevanja međusobnih perspektiva. Nešto manje od petine ispitanika (17.5%) smatra da su mediji moćno sredstvo uticaja na javno mnjenje u ovom kontekstu</w:t>
      </w:r>
      <w:r>
        <w:rPr>
          <w:rFonts w:ascii="Arial" w:hAnsi="Arial" w:cs="Arial"/>
          <w:lang w:val="sr-Latn-ME"/>
        </w:rPr>
        <w:t>.</w:t>
      </w:r>
    </w:p>
    <w:p w:rsidR="00E15318" w:rsidRDefault="00E15318">
      <w:pPr>
        <w:pStyle w:val="NoSpacing"/>
        <w:jc w:val="both"/>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000000">
      <w:pPr>
        <w:rPr>
          <w:rFonts w:ascii="Arial" w:eastAsia="Times New Roman" w:hAnsi="Arial" w:cs="Arial"/>
          <w:b/>
          <w:bCs/>
          <w:color w:val="4472C4" w:themeColor="accent1"/>
          <w:kern w:val="0"/>
          <w:sz w:val="24"/>
          <w:szCs w:val="24"/>
          <w:lang w:val="sr-Latn-ME" w:eastAsia="en-GB"/>
          <w14:ligatures w14:val="none"/>
        </w:rPr>
      </w:pPr>
      <w:r>
        <w:rPr>
          <w:rFonts w:ascii="Arial" w:hAnsi="Arial" w:cs="Arial"/>
          <w:b/>
          <w:bCs/>
          <w:color w:val="4472C4" w:themeColor="accent1"/>
          <w:lang w:val="sr-Latn-ME"/>
        </w:rPr>
        <w:br w:type="page"/>
      </w:r>
    </w:p>
    <w:p w:rsidR="00E15318" w:rsidRDefault="00E15318">
      <w:pPr>
        <w:pStyle w:val="NoSpacing"/>
        <w:jc w:val="center"/>
        <w:rPr>
          <w:rFonts w:ascii="Arial" w:hAnsi="Arial" w:cs="Arial"/>
          <w:b/>
          <w:bCs/>
          <w:color w:val="4472C4" w:themeColor="accent1"/>
          <w:lang w:val="sr-Latn-ME"/>
        </w:rPr>
      </w:pPr>
    </w:p>
    <w:p w:rsidR="00E15318" w:rsidRDefault="00E15318">
      <w:pPr>
        <w:pStyle w:val="NoSpacing"/>
        <w:jc w:val="center"/>
        <w:rPr>
          <w:rFonts w:ascii="Arial" w:hAnsi="Arial" w:cs="Arial"/>
          <w:b/>
          <w:bCs/>
          <w:color w:val="4472C4" w:themeColor="accent1"/>
          <w:lang w:val="sr-Latn-ME"/>
        </w:rPr>
      </w:pPr>
    </w:p>
    <w:p w:rsidR="00E15318" w:rsidRDefault="00000000">
      <w:pPr>
        <w:pStyle w:val="NoSpacing"/>
        <w:jc w:val="center"/>
        <w:rPr>
          <w:rFonts w:ascii="Arial" w:hAnsi="Arial" w:cs="Arial"/>
          <w:b/>
          <w:bCs/>
          <w:color w:val="4472C4" w:themeColor="accent1"/>
          <w:lang w:val="sr-Latn-ME"/>
        </w:rPr>
      </w:pPr>
      <w:r>
        <w:rPr>
          <w:rFonts w:ascii="Arial" w:hAnsi="Arial" w:cs="Arial"/>
          <w:b/>
          <w:bCs/>
          <w:color w:val="4472C4" w:themeColor="accent1"/>
          <w:lang w:val="sr-Latn-ME"/>
        </w:rPr>
        <w:t>METODOLOGIJA</w:t>
      </w:r>
    </w:p>
    <w:p w:rsidR="00E15318" w:rsidRDefault="00E15318">
      <w:pPr>
        <w:jc w:val="center"/>
        <w:rPr>
          <w:rFonts w:ascii="Arial" w:hAnsi="Arial" w:cs="Arial"/>
          <w:b/>
          <w:bCs/>
          <w:color w:val="5B9BD5" w:themeColor="accent5"/>
          <w:lang w:val="sr-Latn-ME"/>
        </w:rPr>
      </w:pPr>
    </w:p>
    <w:tbl>
      <w:tblPr>
        <w:tblStyle w:val="GridTable6Colorful-Accent51"/>
        <w:tblW w:w="9176" w:type="dxa"/>
        <w:jc w:val="center"/>
        <w:tblLook w:val="04A0" w:firstRow="1" w:lastRow="0" w:firstColumn="1" w:lastColumn="0" w:noHBand="0" w:noVBand="1"/>
      </w:tblPr>
      <w:tblGrid>
        <w:gridCol w:w="2780"/>
        <w:gridCol w:w="6396"/>
      </w:tblGrid>
      <w:tr w:rsidR="00E15318" w:rsidTr="00E15318">
        <w:trPr>
          <w:cnfStyle w:val="100000000000" w:firstRow="1" w:lastRow="0"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2780" w:type="dxa"/>
            <w:vAlign w:val="center"/>
          </w:tcPr>
          <w:p w:rsidR="00E15318" w:rsidRDefault="00000000">
            <w:pPr>
              <w:spacing w:after="0" w:line="240" w:lineRule="auto"/>
              <w:rPr>
                <w:rFonts w:ascii="Times New Roman" w:hAnsi="Times New Roman" w:cs="Times New Roman"/>
                <w:b w:val="0"/>
                <w:bCs w:val="0"/>
                <w:color w:val="auto"/>
                <w:kern w:val="0"/>
                <w:sz w:val="24"/>
                <w:szCs w:val="24"/>
                <w:lang w:val="sr-Latn-ME"/>
                <w14:ligatures w14:val="none"/>
              </w:rPr>
            </w:pPr>
            <w:r>
              <w:rPr>
                <w:rFonts w:ascii="Times New Roman" w:hAnsi="Times New Roman" w:cs="Times New Roman"/>
                <w:color w:val="auto"/>
                <w:kern w:val="0"/>
                <w:sz w:val="24"/>
                <w:szCs w:val="24"/>
                <w:lang w:val="sr-Latn-ME"/>
                <w14:ligatures w14:val="none"/>
              </w:rPr>
              <w:t>Realizacija:</w:t>
            </w:r>
          </w:p>
        </w:tc>
        <w:tc>
          <w:tcPr>
            <w:tcW w:w="6396" w:type="dxa"/>
            <w:vAlign w:val="center"/>
          </w:tcPr>
          <w:p w:rsidR="00E15318" w:rsidRDefault="00000000">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kern w:val="0"/>
                <w:sz w:val="24"/>
                <w:szCs w:val="24"/>
                <w:lang w:val="sr-Latn-ME"/>
                <w14:ligatures w14:val="none"/>
              </w:rPr>
            </w:pPr>
            <w:r>
              <w:rPr>
                <w:rFonts w:ascii="Times New Roman" w:hAnsi="Times New Roman" w:cs="Times New Roman"/>
                <w:color w:val="auto"/>
                <w:kern w:val="0"/>
                <w:sz w:val="24"/>
                <w:szCs w:val="24"/>
                <w:lang w:val="sr-Latn-ME"/>
                <w14:ligatures w14:val="none"/>
              </w:rPr>
              <w:t>Prikupljanje podataka obavljeno od 11.05 do 18.05.2024.  godine</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shd w:val="clear" w:color="auto" w:fill="DEEAF6" w:themeFill="accent5" w:themeFillTint="33"/>
            <w:vAlign w:val="center"/>
          </w:tcPr>
          <w:p w:rsidR="00E15318" w:rsidRDefault="00000000">
            <w:pPr>
              <w:spacing w:after="0" w:line="240" w:lineRule="auto"/>
              <w:rPr>
                <w:rFonts w:ascii="Times New Roman" w:hAnsi="Times New Roman" w:cs="Times New Roman"/>
                <w:b w:val="0"/>
                <w:bCs w:val="0"/>
                <w:color w:val="auto"/>
                <w:kern w:val="0"/>
                <w:sz w:val="24"/>
                <w:szCs w:val="24"/>
                <w:lang w:val="sr-Latn-ME"/>
                <w14:ligatures w14:val="none"/>
              </w:rPr>
            </w:pPr>
            <w:r>
              <w:rPr>
                <w:rFonts w:ascii="Times New Roman" w:hAnsi="Times New Roman" w:cs="Times New Roman"/>
                <w:color w:val="auto"/>
                <w:kern w:val="0"/>
                <w:sz w:val="24"/>
                <w:szCs w:val="24"/>
                <w:lang w:val="sr-Latn-ME"/>
                <w14:ligatures w14:val="none"/>
              </w:rPr>
              <w:t xml:space="preserve">Uzorački okvir: </w:t>
            </w:r>
          </w:p>
        </w:tc>
        <w:tc>
          <w:tcPr>
            <w:tcW w:w="6396" w:type="dxa"/>
            <w:shd w:val="clear" w:color="auto" w:fill="DEEAF6" w:themeFill="accent5" w:themeFillTint="33"/>
            <w:vAlign w:val="center"/>
          </w:tcPr>
          <w:p w:rsidR="00E15318"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lang w:val="sr-Latn-ME"/>
                <w14:ligatures w14:val="none"/>
              </w:rPr>
            </w:pPr>
            <w:r>
              <w:rPr>
                <w:rFonts w:ascii="Times New Roman" w:hAnsi="Times New Roman" w:cs="Times New Roman"/>
                <w:b/>
                <w:bCs/>
                <w:color w:val="auto"/>
                <w:kern w:val="0"/>
                <w:sz w:val="24"/>
                <w:szCs w:val="24"/>
                <w:lang w:val="sr-Latn-ME"/>
                <w14:ligatures w14:val="none"/>
              </w:rPr>
              <w:t>Građani opštine Herceg Novi stariji od 18 godina</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vAlign w:val="center"/>
          </w:tcPr>
          <w:p w:rsidR="00E15318" w:rsidRDefault="00000000">
            <w:pPr>
              <w:spacing w:after="0" w:line="240" w:lineRule="auto"/>
              <w:rPr>
                <w:rFonts w:ascii="Times New Roman" w:hAnsi="Times New Roman" w:cs="Times New Roman"/>
                <w:b w:val="0"/>
                <w:bCs w:val="0"/>
                <w:color w:val="auto"/>
                <w:kern w:val="0"/>
                <w:sz w:val="24"/>
                <w:szCs w:val="24"/>
                <w:lang w:val="sr-Latn-ME"/>
                <w14:ligatures w14:val="none"/>
              </w:rPr>
            </w:pPr>
            <w:r>
              <w:rPr>
                <w:rFonts w:ascii="Times New Roman" w:hAnsi="Times New Roman" w:cs="Times New Roman"/>
                <w:color w:val="auto"/>
                <w:kern w:val="0"/>
                <w:sz w:val="24"/>
                <w:szCs w:val="24"/>
                <w:lang w:val="sr-Latn-ME"/>
                <w14:ligatures w14:val="none"/>
              </w:rPr>
              <w:t xml:space="preserve">Veličina uzorka: </w:t>
            </w:r>
          </w:p>
        </w:tc>
        <w:tc>
          <w:tcPr>
            <w:tcW w:w="6396" w:type="dxa"/>
            <w:vAlign w:val="center"/>
          </w:tcPr>
          <w:p w:rsidR="00E15318"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lang w:val="sr-Latn-ME"/>
                <w14:ligatures w14:val="none"/>
              </w:rPr>
            </w:pPr>
            <w:r>
              <w:rPr>
                <w:rFonts w:ascii="Times New Roman" w:hAnsi="Times New Roman" w:cs="Times New Roman"/>
                <w:b/>
                <w:bCs/>
                <w:color w:val="auto"/>
                <w:kern w:val="0"/>
                <w:sz w:val="24"/>
                <w:szCs w:val="24"/>
                <w:lang w:val="sr-Latn-ME"/>
                <w14:ligatures w14:val="none"/>
              </w:rPr>
              <w:t>700</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vMerge w:val="restart"/>
            <w:shd w:val="clear" w:color="auto" w:fill="DEEAF6" w:themeFill="accent5" w:themeFillTint="33"/>
            <w:vAlign w:val="center"/>
          </w:tcPr>
          <w:p w:rsidR="00E15318" w:rsidRDefault="00000000">
            <w:pPr>
              <w:spacing w:after="0" w:line="240" w:lineRule="auto"/>
              <w:rPr>
                <w:rFonts w:ascii="Times New Roman" w:hAnsi="Times New Roman" w:cs="Times New Roman"/>
                <w:b w:val="0"/>
                <w:bCs w:val="0"/>
                <w:color w:val="auto"/>
                <w:kern w:val="0"/>
                <w:sz w:val="24"/>
                <w:szCs w:val="24"/>
                <w:lang w:val="sr-Latn-ME"/>
                <w14:ligatures w14:val="none"/>
              </w:rPr>
            </w:pPr>
            <w:r>
              <w:rPr>
                <w:rFonts w:ascii="Times New Roman" w:hAnsi="Times New Roman" w:cs="Times New Roman"/>
                <w:color w:val="auto"/>
                <w:kern w:val="0"/>
                <w:sz w:val="24"/>
                <w:szCs w:val="24"/>
                <w:lang w:val="sr-Latn-ME"/>
                <w14:ligatures w14:val="none"/>
              </w:rPr>
              <w:t>Tip uzorka:</w:t>
            </w:r>
          </w:p>
        </w:tc>
        <w:tc>
          <w:tcPr>
            <w:tcW w:w="6396" w:type="dxa"/>
            <w:shd w:val="clear" w:color="auto" w:fill="DEEAF6" w:themeFill="accent5" w:themeFillTint="33"/>
            <w:vAlign w:val="center"/>
          </w:tcPr>
          <w:p w:rsidR="00E15318" w:rsidRDefault="00000000">
            <w:pPr>
              <w:pStyle w:val="Default"/>
              <w:cnfStyle w:val="000000000000" w:firstRow="0" w:lastRow="0" w:firstColumn="0" w:lastColumn="0" w:oddVBand="0" w:evenVBand="0" w:oddHBand="0" w:evenHBand="0" w:firstRowFirstColumn="0" w:firstRowLastColumn="0" w:lastRowFirstColumn="0" w:lastRowLastColumn="0"/>
              <w:rPr>
                <w:b/>
                <w:bCs/>
                <w:color w:val="auto"/>
                <w:lang w:val="sr-Latn-ME"/>
              </w:rPr>
            </w:pPr>
            <w:r>
              <w:rPr>
                <w:b/>
                <w:bCs/>
                <w:lang w:val="sr-Latn-ME"/>
              </w:rPr>
              <w:t>Troetapni, kvotni-stratifikovani uzorak</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vMerge/>
            <w:vAlign w:val="center"/>
          </w:tcPr>
          <w:p w:rsidR="00E15318" w:rsidRDefault="00E15318">
            <w:pPr>
              <w:spacing w:after="0" w:line="240" w:lineRule="auto"/>
              <w:rPr>
                <w:rFonts w:ascii="Times New Roman" w:hAnsi="Times New Roman" w:cs="Times New Roman"/>
                <w:b w:val="0"/>
                <w:bCs w:val="0"/>
                <w:color w:val="auto"/>
                <w:kern w:val="0"/>
                <w:sz w:val="24"/>
                <w:szCs w:val="24"/>
                <w:lang w:val="sr-Latn-ME"/>
                <w14:ligatures w14:val="none"/>
              </w:rPr>
            </w:pPr>
          </w:p>
        </w:tc>
        <w:tc>
          <w:tcPr>
            <w:tcW w:w="6396" w:type="dxa"/>
            <w:vAlign w:val="center"/>
          </w:tcPr>
          <w:p w:rsidR="00E15318"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lang w:val="sr-Latn-ME"/>
                <w14:ligatures w14:val="none"/>
              </w:rPr>
            </w:pPr>
            <w:r>
              <w:rPr>
                <w:rFonts w:ascii="Times New Roman" w:hAnsi="Times New Roman" w:cs="Times New Roman"/>
                <w:b/>
                <w:bCs/>
                <w:color w:val="auto"/>
                <w:kern w:val="0"/>
                <w:sz w:val="24"/>
                <w:szCs w:val="24"/>
                <w:lang w:val="sr-Latn-ME"/>
                <w14:ligatures w14:val="none"/>
              </w:rPr>
              <w:t>Prva etapa: Biračko mjesto</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vMerge/>
            <w:shd w:val="clear" w:color="auto" w:fill="DEEAF6" w:themeFill="accent5" w:themeFillTint="33"/>
            <w:vAlign w:val="center"/>
          </w:tcPr>
          <w:p w:rsidR="00E15318" w:rsidRDefault="00E15318">
            <w:pPr>
              <w:spacing w:after="0" w:line="240" w:lineRule="auto"/>
              <w:rPr>
                <w:rFonts w:ascii="Times New Roman" w:hAnsi="Times New Roman" w:cs="Times New Roman"/>
                <w:b w:val="0"/>
                <w:bCs w:val="0"/>
                <w:color w:val="auto"/>
                <w:kern w:val="0"/>
                <w:sz w:val="24"/>
                <w:szCs w:val="24"/>
                <w:lang w:val="sr-Latn-ME"/>
                <w14:ligatures w14:val="none"/>
              </w:rPr>
            </w:pPr>
          </w:p>
        </w:tc>
        <w:tc>
          <w:tcPr>
            <w:tcW w:w="6396" w:type="dxa"/>
            <w:shd w:val="clear" w:color="auto" w:fill="DEEAF6" w:themeFill="accent5" w:themeFillTint="33"/>
            <w:vAlign w:val="center"/>
          </w:tcPr>
          <w:p w:rsidR="00E15318"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lang w:val="sr-Latn-ME"/>
                <w14:ligatures w14:val="none"/>
              </w:rPr>
            </w:pPr>
            <w:r>
              <w:rPr>
                <w:rFonts w:ascii="Times New Roman" w:hAnsi="Times New Roman" w:cs="Times New Roman"/>
                <w:b/>
                <w:bCs/>
                <w:color w:val="auto"/>
                <w:kern w:val="0"/>
                <w:sz w:val="24"/>
                <w:szCs w:val="24"/>
                <w:lang w:val="sr-Latn-ME"/>
                <w14:ligatures w14:val="none"/>
              </w:rPr>
              <w:t>Druga etapa: Domaćinstvo prostim slučajnim uzorkom (SRSWoR)</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vMerge/>
            <w:vAlign w:val="center"/>
          </w:tcPr>
          <w:p w:rsidR="00E15318" w:rsidRDefault="00E15318">
            <w:pPr>
              <w:spacing w:after="0" w:line="240" w:lineRule="auto"/>
              <w:rPr>
                <w:rFonts w:ascii="Times New Roman" w:hAnsi="Times New Roman" w:cs="Times New Roman"/>
                <w:b w:val="0"/>
                <w:bCs w:val="0"/>
                <w:color w:val="auto"/>
                <w:kern w:val="0"/>
                <w:sz w:val="24"/>
                <w:szCs w:val="24"/>
                <w:lang w:val="sr-Latn-ME"/>
                <w14:ligatures w14:val="none"/>
              </w:rPr>
            </w:pPr>
          </w:p>
        </w:tc>
        <w:tc>
          <w:tcPr>
            <w:tcW w:w="6396" w:type="dxa"/>
            <w:vAlign w:val="center"/>
          </w:tcPr>
          <w:p w:rsidR="00E15318"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lang w:val="sr-Latn-ME"/>
                <w14:ligatures w14:val="none"/>
              </w:rPr>
            </w:pPr>
            <w:r>
              <w:rPr>
                <w:rFonts w:ascii="Times New Roman" w:hAnsi="Times New Roman" w:cs="Times New Roman"/>
                <w:b/>
                <w:bCs/>
                <w:color w:val="auto"/>
                <w:kern w:val="0"/>
                <w:sz w:val="24"/>
                <w:szCs w:val="24"/>
                <w:lang w:val="sr-Latn-ME"/>
                <w14:ligatures w14:val="none"/>
              </w:rPr>
              <w:t>Treća etapa: Član domaćinstva izabran metodom rođendana</w:t>
            </w:r>
          </w:p>
        </w:tc>
      </w:tr>
      <w:tr w:rsidR="00E15318" w:rsidTr="00E15318">
        <w:trPr>
          <w:trHeight w:val="516"/>
          <w:jc w:val="center"/>
        </w:trPr>
        <w:tc>
          <w:tcPr>
            <w:cnfStyle w:val="001000000000" w:firstRow="0" w:lastRow="0" w:firstColumn="1" w:lastColumn="0" w:oddVBand="0" w:evenVBand="0" w:oddHBand="0" w:evenHBand="0" w:firstRowFirstColumn="0" w:firstRowLastColumn="0" w:lastRowFirstColumn="0" w:lastRowLastColumn="0"/>
            <w:tcW w:w="2780" w:type="dxa"/>
            <w:tcBorders>
              <w:top w:val="double" w:sz="4" w:space="0" w:color="9CC2E5" w:themeColor="accent5" w:themeTint="99"/>
            </w:tcBorders>
            <w:vAlign w:val="center"/>
          </w:tcPr>
          <w:p w:rsidR="00E15318" w:rsidRDefault="00000000">
            <w:pPr>
              <w:spacing w:after="0" w:line="240" w:lineRule="auto"/>
              <w:rPr>
                <w:rFonts w:ascii="Times New Roman" w:hAnsi="Times New Roman" w:cs="Times New Roman"/>
                <w:b w:val="0"/>
                <w:bCs w:val="0"/>
                <w:color w:val="auto"/>
                <w:kern w:val="0"/>
                <w:sz w:val="24"/>
                <w:szCs w:val="24"/>
                <w:lang w:val="sr-Latn-ME"/>
                <w14:ligatures w14:val="none"/>
              </w:rPr>
            </w:pPr>
            <w:r>
              <w:rPr>
                <w:rFonts w:ascii="Times New Roman" w:hAnsi="Times New Roman" w:cs="Times New Roman"/>
                <w:color w:val="auto"/>
                <w:kern w:val="0"/>
                <w:sz w:val="24"/>
                <w:szCs w:val="24"/>
                <w:lang w:val="sr-Latn-ME"/>
                <w14:ligatures w14:val="none"/>
              </w:rPr>
              <w:t>Tip istraživanja:</w:t>
            </w:r>
          </w:p>
        </w:tc>
        <w:tc>
          <w:tcPr>
            <w:tcW w:w="6396" w:type="dxa"/>
            <w:tcBorders>
              <w:top w:val="double" w:sz="4" w:space="0" w:color="9CC2E5" w:themeColor="accent5" w:themeTint="99"/>
            </w:tcBorders>
            <w:vAlign w:val="center"/>
          </w:tcPr>
          <w:p w:rsidR="00E15318" w:rsidRDefault="00000000">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kern w:val="0"/>
                <w:sz w:val="24"/>
                <w:szCs w:val="24"/>
                <w:lang w:val="sr-Latn-ME"/>
                <w14:ligatures w14:val="none"/>
              </w:rPr>
            </w:pPr>
            <w:r>
              <w:rPr>
                <w:rFonts w:ascii="Times New Roman" w:hAnsi="Times New Roman" w:cs="Times New Roman"/>
                <w:b/>
                <w:bCs/>
                <w:color w:val="auto"/>
                <w:kern w:val="0"/>
                <w:sz w:val="24"/>
                <w:szCs w:val="24"/>
                <w:lang w:val="sr-Latn-ME"/>
                <w14:ligatures w14:val="none"/>
              </w:rPr>
              <w:t>CAPI prosječne dužine 10 minuta</w:t>
            </w:r>
          </w:p>
        </w:tc>
      </w:tr>
    </w:tbl>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000000">
      <w:pPr>
        <w:jc w:val="center"/>
        <w:rPr>
          <w:rFonts w:ascii="Arial" w:hAnsi="Arial" w:cs="Arial"/>
          <w:b/>
          <w:bCs/>
          <w:color w:val="4472C4" w:themeColor="accent1"/>
          <w:lang w:val="sr-Latn-ME"/>
        </w:rPr>
      </w:pPr>
      <w:r>
        <w:rPr>
          <w:rFonts w:ascii="Arial" w:hAnsi="Arial" w:cs="Arial"/>
          <w:b/>
          <w:bCs/>
          <w:color w:val="4472C4" w:themeColor="accent1"/>
          <w:sz w:val="24"/>
          <w:szCs w:val="24"/>
          <w:lang w:val="sr-Latn-ME"/>
        </w:rPr>
        <w:t>DEMOGRAFIJA</w:t>
      </w:r>
    </w:p>
    <w:p w:rsidR="00E15318" w:rsidRDefault="00E15318">
      <w:pPr>
        <w:jc w:val="center"/>
        <w:rPr>
          <w:rFonts w:ascii="Arial" w:hAnsi="Arial" w:cs="Arial"/>
          <w:b/>
          <w:bCs/>
          <w:color w:val="5B9BD5" w:themeColor="accent5"/>
          <w:lang w:val="sr-Latn-ME"/>
        </w:rPr>
      </w:pPr>
    </w:p>
    <w:p w:rsidR="00E15318" w:rsidRDefault="00000000">
      <w:pPr>
        <w:jc w:val="center"/>
        <w:rPr>
          <w:rFonts w:ascii="Arial" w:hAnsi="Arial" w:cs="Arial"/>
          <w:b/>
          <w:bCs/>
          <w:color w:val="5B9BD5" w:themeColor="accent5"/>
          <w:lang w:val="sr-Latn-ME"/>
        </w:rPr>
      </w:pPr>
      <w:r>
        <w:rPr>
          <w:noProof/>
          <w:lang w:val="sr-Latn-ME"/>
        </w:rPr>
        <w:drawing>
          <wp:inline distT="0" distB="0" distL="0" distR="0">
            <wp:extent cx="6112510" cy="3760470"/>
            <wp:effectExtent l="0" t="0" r="0" b="0"/>
            <wp:docPr id="157720695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E15318">
      <w:pPr>
        <w:jc w:val="center"/>
        <w:rPr>
          <w:rFonts w:ascii="Arial" w:hAnsi="Arial" w:cs="Arial"/>
          <w:b/>
          <w:bCs/>
          <w:color w:val="5B9BD5" w:themeColor="accent5"/>
          <w:lang w:val="sr-Latn-ME"/>
        </w:rPr>
      </w:pPr>
    </w:p>
    <w:p w:rsidR="00E15318" w:rsidRDefault="00000000">
      <w:pPr>
        <w:pStyle w:val="ListParagraph"/>
        <w:numPr>
          <w:ilvl w:val="0"/>
          <w:numId w:val="3"/>
        </w:numPr>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 xml:space="preserve">Da li je Crna Gora učestvovala u ratu u Bosni i Hercegovini (1992-1995)? </w:t>
      </w:r>
    </w:p>
    <w:p w:rsidR="00E15318" w:rsidRDefault="00E15318">
      <w:pPr>
        <w:rPr>
          <w:rFonts w:ascii="Arial" w:hAnsi="Arial" w:cs="Arial"/>
          <w:b/>
          <w:bCs/>
          <w:lang w:val="sr-Latn-ME"/>
        </w:rPr>
      </w:pPr>
    </w:p>
    <w:p w:rsidR="00E15318" w:rsidRDefault="00000000">
      <w:pPr>
        <w:jc w:val="center"/>
        <w:rPr>
          <w:rFonts w:ascii="Arial" w:hAnsi="Arial" w:cs="Arial"/>
          <w:b/>
          <w:bCs/>
          <w:lang w:val="sr-Latn-ME"/>
        </w:rPr>
      </w:pPr>
      <w:r>
        <w:rPr>
          <w:noProof/>
          <w:lang w:val="sr-Latn-ME"/>
        </w:rPr>
        <w:drawing>
          <wp:inline distT="0" distB="0" distL="0" distR="0">
            <wp:extent cx="4572000" cy="2743200"/>
            <wp:effectExtent l="0" t="0" r="0" b="0"/>
            <wp:docPr id="14032775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15318" w:rsidRDefault="00E15318">
      <w:pPr>
        <w:rPr>
          <w:rFonts w:ascii="Arial" w:hAnsi="Arial" w:cs="Arial"/>
          <w:b/>
          <w:bCs/>
          <w:lang w:val="sr-Latn-ME"/>
        </w:rPr>
      </w:pPr>
    </w:p>
    <w:p w:rsidR="00E15318" w:rsidRDefault="00E15318">
      <w:pPr>
        <w:rPr>
          <w:rFonts w:ascii="Arial" w:hAnsi="Arial" w:cs="Arial"/>
          <w:b/>
          <w:bCs/>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 xml:space="preserve">Oko trećine ispitanika (35%) vjeruje da je Crna Gora učestvovala u ratu u Bosni i Hercegovini, a skoro polovina ispitanika (46,2%) smatra da Crna Gora nije učestvovala u ratu. Skoro petina ispitanika (18,8%) nije sigurna ili nema dovoljno informacija da formira mišljenje o ovom pitanju. </w:t>
      </w:r>
    </w:p>
    <w:p w:rsidR="00E15318" w:rsidRDefault="00000000">
      <w:pPr>
        <w:jc w:val="both"/>
        <w:rPr>
          <w:rFonts w:ascii="Arial" w:hAnsi="Arial" w:cs="Arial"/>
          <w:sz w:val="24"/>
          <w:szCs w:val="24"/>
          <w:lang w:val="sr-Latn-ME"/>
        </w:rPr>
      </w:pPr>
      <w:r>
        <w:rPr>
          <w:rFonts w:ascii="Arial" w:hAnsi="Arial" w:cs="Arial"/>
          <w:sz w:val="24"/>
          <w:szCs w:val="24"/>
          <w:lang w:val="sr-Latn-ME"/>
        </w:rPr>
        <w:t>Ovi rezultati pokazuju da su mišljenja građana Herceg Novog o učešću Crne Gore u ratu u Bosni i Hercegovini (1992-1995) prilično podijeljena.</w:t>
      </w:r>
    </w:p>
    <w:p w:rsidR="00E15318" w:rsidRDefault="00000000">
      <w:pPr>
        <w:jc w:val="both"/>
        <w:rPr>
          <w:rFonts w:ascii="Arial" w:hAnsi="Arial" w:cs="Arial"/>
          <w:sz w:val="24"/>
          <w:szCs w:val="24"/>
          <w:lang w:val="sr-Latn-ME"/>
        </w:rPr>
      </w:pPr>
      <w:r>
        <w:rPr>
          <w:rFonts w:ascii="Arial" w:hAnsi="Arial" w:cs="Arial"/>
          <w:sz w:val="24"/>
          <w:szCs w:val="24"/>
          <w:lang w:val="sr-Latn-ME"/>
        </w:rPr>
        <w:t>Mlađe osobe (18-24 godine) su manje sigurne u učešće Crne Gore u ratu, sa većinom (53.7%) koja na pitanje da li je Crna Gora učestvovovala u ratu u Bosni i Hercegovini kaže "Ne znam". Sa godinama ispitanika povećava se i procenat ispitanika koji vjeruje da je Crna Gora učestvovala u ratu, pri čemu je najveći procenat onih koji vjeruju u učešće među najstarijom grupom (65+).</w:t>
      </w:r>
    </w:p>
    <w:p w:rsidR="00E15318" w:rsidRDefault="00000000">
      <w:pPr>
        <w:jc w:val="both"/>
        <w:rPr>
          <w:rFonts w:ascii="Arial" w:hAnsi="Arial" w:cs="Arial"/>
          <w:sz w:val="24"/>
          <w:szCs w:val="24"/>
          <w:lang w:val="sr-Latn-ME"/>
        </w:rPr>
      </w:pPr>
      <w:r>
        <w:rPr>
          <w:rFonts w:ascii="Arial" w:hAnsi="Arial" w:cs="Arial"/>
          <w:sz w:val="24"/>
          <w:szCs w:val="24"/>
          <w:lang w:val="sr-Latn-ME"/>
        </w:rPr>
        <w:t>Većina ispitanika crnogorske nacionalnosti (60.3%) vjeruje da Crna Gora nije učestvovala u ratu, dok skoro polovina ispitanika srpske nacionalnosti (45.9%) vjeruje da je Crna Gora učestvovala.</w:t>
      </w: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Da li ste upoznati sa deportacijom bosansko-hercegovačkih izbjeglica iz Centra bezbjednosti Herceg-Novi u maju 1992. godine?</w:t>
      </w:r>
    </w:p>
    <w:p w:rsidR="00E15318" w:rsidRDefault="00E15318">
      <w:pPr>
        <w:rPr>
          <w:rFonts w:ascii="Arial" w:hAnsi="Arial" w:cs="Arial"/>
          <w:b/>
          <w:bCs/>
          <w:lang w:val="sr-Latn-ME"/>
        </w:rPr>
      </w:pPr>
    </w:p>
    <w:p w:rsidR="00E15318" w:rsidRDefault="00000000">
      <w:pPr>
        <w:jc w:val="center"/>
        <w:rPr>
          <w:rFonts w:ascii="Arial" w:hAnsi="Arial" w:cs="Arial"/>
          <w:b/>
          <w:bCs/>
          <w:lang w:val="sr-Latn-ME"/>
        </w:rPr>
      </w:pPr>
      <w:r>
        <w:rPr>
          <w:noProof/>
          <w:lang w:val="sr-Latn-ME"/>
        </w:rPr>
        <w:drawing>
          <wp:inline distT="0" distB="0" distL="0" distR="0">
            <wp:extent cx="4436745" cy="2154555"/>
            <wp:effectExtent l="0" t="0" r="0" b="0"/>
            <wp:docPr id="16726943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Skoro 2/3 građana (62.6%) se izjašnjava da je upoznato s ovim događajem, dok nešto preko trećine (37.4%) kaže da još uvijek nije informisan o tome. </w:t>
      </w:r>
    </w:p>
    <w:p w:rsidR="00E15318" w:rsidRDefault="00000000">
      <w:pPr>
        <w:jc w:val="both"/>
        <w:rPr>
          <w:rFonts w:ascii="Arial" w:hAnsi="Arial" w:cs="Arial"/>
          <w:sz w:val="24"/>
          <w:szCs w:val="24"/>
          <w:lang w:val="sr-Latn-ME"/>
        </w:rPr>
      </w:pPr>
      <w:r>
        <w:rPr>
          <w:rFonts w:ascii="Arial" w:hAnsi="Arial" w:cs="Arial"/>
          <w:sz w:val="24"/>
          <w:szCs w:val="24"/>
          <w:lang w:val="sr-Latn-ME"/>
        </w:rPr>
        <w:t>Mlađe generacije su manje upoznate sa ovim događajem. Posebno, grupa od 18-24 godine pokazuje najmanju informisanost, sa samo 23.9% upućenih, dok starije generacije smatraju da su bolje upoznate, pri čemu se grupa od 65 i više godina najčešće izjašnjava da je upoznata sa činjenicama o događaju (90.8%).</w:t>
      </w:r>
    </w:p>
    <w:p w:rsidR="00E15318" w:rsidRDefault="00000000">
      <w:pPr>
        <w:jc w:val="both"/>
        <w:rPr>
          <w:rFonts w:ascii="Arial" w:hAnsi="Arial" w:cs="Arial"/>
          <w:sz w:val="24"/>
          <w:szCs w:val="24"/>
          <w:lang w:val="sr-Latn-ME"/>
        </w:rPr>
      </w:pPr>
      <w:r>
        <w:rPr>
          <w:rFonts w:ascii="Arial" w:hAnsi="Arial" w:cs="Arial"/>
          <w:sz w:val="24"/>
          <w:szCs w:val="24"/>
          <w:lang w:val="sr-Latn-ME"/>
        </w:rPr>
        <w:t>Ispitanici srpske nacionalnosti imaju relativno visok nivo informisanosti (69.2%), dok oni crnogorske nacionalnosti pokazuju srednji nivo informisanosti (57.2%).</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Rezultati ankete pokazuju da postoji izražena korelacija između dužine boravka porodica u Herceg-Novom i njihove informisanosti o deportaciji bosansko-hercegovačkih izbjeglica iz Centra bezbjednosti Herceg-Novi u maju 1992. godine. </w:t>
      </w:r>
    </w:p>
    <w:p w:rsidR="00E15318" w:rsidRDefault="00000000">
      <w:pPr>
        <w:jc w:val="both"/>
        <w:rPr>
          <w:rFonts w:ascii="Arial" w:hAnsi="Arial" w:cs="Arial"/>
          <w:sz w:val="24"/>
          <w:szCs w:val="24"/>
          <w:lang w:val="sr-Latn-ME"/>
        </w:rPr>
      </w:pPr>
      <w:r>
        <w:rPr>
          <w:rFonts w:ascii="Arial" w:hAnsi="Arial" w:cs="Arial"/>
          <w:sz w:val="24"/>
          <w:szCs w:val="24"/>
          <w:lang w:val="sr-Latn-ME"/>
        </w:rPr>
        <w:t>Tako, porodice koje žive manje od 10 godina u Herceg-Novom imaju najnižu stopu informisanosti o deportaciji, sa samo 7.1% upućenih u događaj, dok ogromna većina od 92.9% nije upoznata sa ovim događajem. S druge strane, porodice koje žive više od 30 godina u Herceg-Novom pokazuju najveću stopu informisanosti, gdje 71.8% ispitanika navodi da su upoznati sa deportacijom, a 28.2% da nisu upoznati.</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 xml:space="preserve">Koliko ste upoznati sa činjenicama u vezi deportacije bosansko-hercegovačkih izbjeglica iz maja 1992. godine? </w:t>
      </w:r>
      <w:r>
        <w:rPr>
          <w:rStyle w:val="FootnoteReference"/>
          <w:rFonts w:ascii="Arial" w:hAnsi="Arial" w:cs="Arial"/>
          <w:b/>
          <w:bCs/>
          <w:color w:val="4472C4" w:themeColor="accent1"/>
          <w:sz w:val="24"/>
          <w:szCs w:val="24"/>
          <w:lang w:val="sr-Latn-ME"/>
        </w:rPr>
        <w:footnoteReference w:id="2"/>
      </w:r>
    </w:p>
    <w:p w:rsidR="00E15318" w:rsidRDefault="00000000">
      <w:pPr>
        <w:jc w:val="center"/>
        <w:rPr>
          <w:b/>
          <w:bCs/>
          <w:lang w:val="sr-Latn-ME"/>
        </w:rPr>
      </w:pPr>
      <w:r>
        <w:rPr>
          <w:noProof/>
          <w:lang w:val="sr-Latn-ME"/>
        </w:rPr>
        <w:drawing>
          <wp:inline distT="0" distB="0" distL="0" distR="0">
            <wp:extent cx="4229735" cy="2170430"/>
            <wp:effectExtent l="0" t="0" r="0" b="0"/>
            <wp:docPr id="213895319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5318" w:rsidRDefault="00E15318">
      <w:pPr>
        <w:jc w:val="both"/>
        <w:rPr>
          <w:rFonts w:ascii="Arial" w:hAnsi="Arial" w:cs="Arial"/>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 xml:space="preserve">Nešto više od 1/3 ispitanika (35.5%), koji su upoznati sa događajem, tvrdi da su "veoma detaljno" upućeni u činjenice u vezi deportacije bosansko-hercegovačkih izbjeglica iz maja 1992. godine, a 61.3% ispitanika da su djelimično upoznati. </w:t>
      </w:r>
    </w:p>
    <w:p w:rsidR="00E15318" w:rsidRDefault="00000000">
      <w:pPr>
        <w:jc w:val="both"/>
        <w:rPr>
          <w:rFonts w:ascii="Arial" w:hAnsi="Arial" w:cs="Arial"/>
          <w:sz w:val="24"/>
          <w:szCs w:val="24"/>
          <w:lang w:val="sr-Latn-ME"/>
        </w:rPr>
      </w:pPr>
      <w:r>
        <w:rPr>
          <w:rFonts w:ascii="Arial" w:hAnsi="Arial" w:cs="Arial"/>
          <w:sz w:val="24"/>
          <w:szCs w:val="24"/>
          <w:lang w:val="sr-Latn-ME"/>
        </w:rPr>
        <w:t>57.0% ispitanika starije starosne dobi, posebno one iznad 65 godina, pokazuje veoma detaljnu upućenost, dok mlađi uglavnom spadaju u kategoriju djelimično upućenih.</w:t>
      </w:r>
    </w:p>
    <w:p w:rsidR="00E15318" w:rsidRDefault="00000000">
      <w:pPr>
        <w:jc w:val="both"/>
        <w:rPr>
          <w:rFonts w:ascii="Arial" w:hAnsi="Arial" w:cs="Arial"/>
          <w:sz w:val="24"/>
          <w:szCs w:val="24"/>
          <w:lang w:val="sr-Latn-ME"/>
        </w:rPr>
      </w:pPr>
      <w:r>
        <w:rPr>
          <w:rFonts w:ascii="Arial" w:hAnsi="Arial" w:cs="Arial"/>
          <w:sz w:val="24"/>
          <w:szCs w:val="24"/>
          <w:lang w:val="sr-Latn-ME"/>
        </w:rPr>
        <w:t>Ispitanici koji se izjašnjavaju kao Crnogorci (39,6%) i oni koji se izjašnjavaju kao Srbi (32,6%) imaju srednji nivo „veoma detaljne“ upućenosti, dok ih je većina „djelimično upoznata“ (Crnogorci-56,8, Srbi-64,7%).</w:t>
      </w:r>
    </w:p>
    <w:p w:rsidR="00E15318" w:rsidRDefault="00000000">
      <w:pPr>
        <w:jc w:val="both"/>
        <w:rPr>
          <w:rFonts w:ascii="Arial" w:hAnsi="Arial" w:cs="Arial"/>
          <w:sz w:val="24"/>
          <w:szCs w:val="24"/>
          <w:lang w:val="sr-Latn-ME"/>
        </w:rPr>
      </w:pPr>
      <w:r>
        <w:rPr>
          <w:rFonts w:ascii="Arial" w:hAnsi="Arial" w:cs="Arial"/>
          <w:sz w:val="24"/>
          <w:szCs w:val="24"/>
          <w:lang w:val="sr-Latn-ME"/>
        </w:rPr>
        <w:t>Rezultati odgovora na ovo pitanje jasno ukazuju na to da duži boravak u Herceg-Novom dovodi do veće informisanosti o lokalnim istorijskim događajima, sugerišući da duže življenje u zajednici omogućava bolje razumijevanje i veću svijest o njenim istorijskim činjenicama. Tako, porodice koje žive manje od 10 godina u Herceg-Novom pokazuju slabu upućenost u detalje događaja, dok porodice koje žive više od 30 godina u Herceg-Novom pokazuju najveći stepen detaljne upućenosti (42.7%) i djelimične upućenosti (53.9%), sa vrlo malim procentom neupućenosti (3.4%).</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18"/>
          <w:szCs w:val="18"/>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Koji je Vaš glavni izvor informacija o ovom događaju?</w:t>
      </w:r>
    </w:p>
    <w:p w:rsidR="00E15318" w:rsidRDefault="00000000">
      <w:pPr>
        <w:jc w:val="center"/>
        <w:rPr>
          <w:b/>
          <w:bCs/>
          <w:lang w:val="sr-Latn-ME"/>
        </w:rPr>
      </w:pPr>
      <w:r>
        <w:rPr>
          <w:noProof/>
          <w:lang w:val="sr-Latn-ME"/>
        </w:rPr>
        <w:drawing>
          <wp:inline distT="0" distB="0" distL="0" distR="0">
            <wp:extent cx="5114925" cy="3157220"/>
            <wp:effectExtent l="0" t="0" r="0" b="0"/>
            <wp:docPr id="8017238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15318" w:rsidRDefault="00000000">
      <w:pPr>
        <w:jc w:val="both"/>
        <w:rPr>
          <w:rFonts w:ascii="Arial" w:hAnsi="Arial" w:cs="Arial"/>
          <w:sz w:val="24"/>
          <w:szCs w:val="24"/>
          <w:lang w:val="sr-Latn-ME"/>
        </w:rPr>
      </w:pPr>
      <w:r>
        <w:rPr>
          <w:rFonts w:ascii="Arial" w:hAnsi="Arial" w:cs="Arial"/>
          <w:sz w:val="24"/>
          <w:szCs w:val="24"/>
          <w:lang w:val="sr-Latn-ME"/>
        </w:rPr>
        <w:t>Televizija (50.8%) predstavlja glavni izvor informacija za većinu ispitanika, dok je Internet (18.8%) drugi najčešći izvor, a porodica i prijatelji (16.0%) su treći izvor informacija. Mlađe generacije su sklonije korišćenju Interneta, dok se starije generacije više oslanjaju na tradicionalne medije poput televizije i ličnog sjećanja.</w:t>
      </w: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000000">
      <w:pPr>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br w:type="page"/>
      </w:r>
    </w:p>
    <w:p w:rsidR="00E15318" w:rsidRDefault="00E15318">
      <w:pPr>
        <w:jc w:val="both"/>
        <w:rPr>
          <w:rFonts w:ascii="Arial" w:hAnsi="Arial" w:cs="Arial"/>
          <w:b/>
          <w:bCs/>
          <w:color w:val="4472C4" w:themeColor="accent1"/>
          <w:sz w:val="24"/>
          <w:szCs w:val="24"/>
          <w:lang w:val="sr-Latn-ME"/>
        </w:rPr>
      </w:pPr>
    </w:p>
    <w:p w:rsidR="00E15318" w:rsidRDefault="00E15318">
      <w:pPr>
        <w:jc w:val="both"/>
        <w:rPr>
          <w:rFonts w:ascii="Arial" w:hAnsi="Arial" w:cs="Arial"/>
          <w:b/>
          <w:bCs/>
          <w:color w:val="4472C4" w:themeColor="accent1"/>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Zbog čega su po Vašem mišljenju deportovane bosansko-hercegovačke izbjeglice iz Crne Gore?</w:t>
      </w:r>
    </w:p>
    <w:p w:rsidR="00E15318" w:rsidRDefault="00E15318">
      <w:pPr>
        <w:jc w:val="both"/>
        <w:rPr>
          <w:rFonts w:ascii="Arial" w:hAnsi="Arial" w:cs="Arial"/>
          <w:b/>
          <w:bCs/>
          <w:color w:val="4472C4" w:themeColor="accent1"/>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Odgovori na otvoreno pitanje o razlozima deportacije bosansko-hercegovačkih izbjeglica iz Crne Gore 1992. godine pokazuju širok spektar razloga koji se mogu grupisati u nekoliko kategorija za lakšu analizu i razumijevanje:</w:t>
      </w:r>
    </w:p>
    <w:p w:rsidR="00E15318" w:rsidRDefault="00000000">
      <w:pPr>
        <w:jc w:val="both"/>
        <w:rPr>
          <w:rFonts w:ascii="Arial" w:hAnsi="Arial" w:cs="Arial"/>
          <w:sz w:val="24"/>
          <w:szCs w:val="24"/>
          <w:lang w:val="sr-Latn-ME"/>
        </w:rPr>
      </w:pPr>
      <w:r>
        <w:rPr>
          <w:rFonts w:ascii="Arial" w:hAnsi="Arial" w:cs="Arial"/>
          <w:b/>
          <w:bCs/>
          <w:sz w:val="24"/>
          <w:szCs w:val="24"/>
          <w:lang w:val="sr-Latn-ME"/>
        </w:rPr>
        <w:t>Vojna obaveza i mobilizacija</w:t>
      </w:r>
      <w:r>
        <w:rPr>
          <w:rFonts w:ascii="Arial" w:hAnsi="Arial" w:cs="Arial"/>
          <w:sz w:val="24"/>
          <w:szCs w:val="24"/>
          <w:lang w:val="sr-Latn-ME"/>
        </w:rPr>
        <w:t>: Mnogi ispitanici navode da su izbjeglice deportovane zbog izbjegavanja vojne obaveze ili mobilizacije od strane Republike Srpske ili drugih ratnih strana. Ova kategorija uključuje odgovore koji spominju vojnu obavezu, potraživanje od strane Republike Srpske i obaveze prema drugim državama.</w:t>
      </w:r>
    </w:p>
    <w:p w:rsidR="00E15318" w:rsidRDefault="00000000">
      <w:pPr>
        <w:jc w:val="both"/>
        <w:rPr>
          <w:rFonts w:ascii="Arial" w:hAnsi="Arial" w:cs="Arial"/>
          <w:sz w:val="24"/>
          <w:szCs w:val="24"/>
          <w:lang w:val="sr-Latn-ME"/>
        </w:rPr>
      </w:pPr>
      <w:r>
        <w:rPr>
          <w:rFonts w:ascii="Arial" w:hAnsi="Arial" w:cs="Arial"/>
          <w:b/>
          <w:bCs/>
          <w:sz w:val="24"/>
          <w:szCs w:val="24"/>
          <w:lang w:val="sr-Latn-ME"/>
        </w:rPr>
        <w:t>Političke i državne odluke</w:t>
      </w:r>
      <w:r>
        <w:rPr>
          <w:rFonts w:ascii="Arial" w:hAnsi="Arial" w:cs="Arial"/>
          <w:sz w:val="24"/>
          <w:szCs w:val="24"/>
          <w:lang w:val="sr-Latn-ME"/>
        </w:rPr>
        <w:t>: Druga velika grupa odgovora odnosi se na političke i državne odluke, uključujući naloge i naredbe iz Srbije ili drugih političkih centara moći. Ovdje se navodi direktno učešće vlasti Crne Gore, Srbije, i odgovornost međunarodne zajednice.</w:t>
      </w:r>
    </w:p>
    <w:p w:rsidR="00E15318" w:rsidRDefault="00000000">
      <w:pPr>
        <w:jc w:val="both"/>
        <w:rPr>
          <w:rFonts w:ascii="Arial" w:hAnsi="Arial" w:cs="Arial"/>
          <w:sz w:val="24"/>
          <w:szCs w:val="24"/>
          <w:lang w:val="sr-Latn-ME"/>
        </w:rPr>
      </w:pPr>
      <w:r>
        <w:rPr>
          <w:rFonts w:ascii="Arial" w:hAnsi="Arial" w:cs="Arial"/>
          <w:b/>
          <w:bCs/>
          <w:sz w:val="24"/>
          <w:szCs w:val="24"/>
          <w:lang w:val="sr-Latn-ME"/>
        </w:rPr>
        <w:t>Nacionalizam i međunacionalni odnosi</w:t>
      </w:r>
      <w:r>
        <w:rPr>
          <w:rFonts w:ascii="Arial" w:hAnsi="Arial" w:cs="Arial"/>
          <w:sz w:val="24"/>
          <w:szCs w:val="24"/>
          <w:lang w:val="sr-Latn-ME"/>
        </w:rPr>
        <w:t>: Neke odgovore karakteriše percepcija da su nacionalizam i loši međunacionalni odnosi bili ključni u donošenju odluka o deportaciji. Uključuje elemente kao što su "da se zavade naši narodi" i percepcije izdaje ili neprijateljstva unutar zajednice.</w:t>
      </w:r>
    </w:p>
    <w:p w:rsidR="00E15318" w:rsidRDefault="00000000">
      <w:pPr>
        <w:jc w:val="both"/>
        <w:rPr>
          <w:rFonts w:ascii="Arial" w:hAnsi="Arial" w:cs="Arial"/>
          <w:sz w:val="24"/>
          <w:szCs w:val="24"/>
          <w:lang w:val="sr-Latn-ME"/>
        </w:rPr>
      </w:pPr>
      <w:r>
        <w:rPr>
          <w:rFonts w:ascii="Arial" w:hAnsi="Arial" w:cs="Arial"/>
          <w:b/>
          <w:bCs/>
          <w:sz w:val="24"/>
          <w:szCs w:val="24"/>
          <w:lang w:val="sr-Latn-ME"/>
        </w:rPr>
        <w:t>Ratne okolnosti</w:t>
      </w:r>
      <w:r>
        <w:rPr>
          <w:rFonts w:ascii="Arial" w:hAnsi="Arial" w:cs="Arial"/>
          <w:sz w:val="24"/>
          <w:szCs w:val="24"/>
          <w:lang w:val="sr-Latn-ME"/>
        </w:rPr>
        <w:t>: Neki ispitanici navode da su ratne okolnosti i potrebe za sigurnošću bile razlozi za deportaciju, što uključuje izbjegavanje ratnih dejstava ili potrebu za kontrolom ljudi u ratnom periodu.</w:t>
      </w:r>
    </w:p>
    <w:p w:rsidR="00E15318" w:rsidRDefault="00000000">
      <w:pPr>
        <w:jc w:val="both"/>
        <w:rPr>
          <w:rFonts w:ascii="Arial" w:hAnsi="Arial" w:cs="Arial"/>
          <w:sz w:val="24"/>
          <w:szCs w:val="24"/>
          <w:lang w:val="sr-Latn-ME"/>
        </w:rPr>
      </w:pPr>
      <w:r>
        <w:rPr>
          <w:rFonts w:ascii="Arial" w:hAnsi="Arial" w:cs="Arial"/>
          <w:b/>
          <w:bCs/>
          <w:sz w:val="24"/>
          <w:szCs w:val="24"/>
          <w:lang w:val="sr-Latn-ME"/>
        </w:rPr>
        <w:t>Nedostatak znanja ili neodređenost</w:t>
      </w:r>
      <w:r>
        <w:rPr>
          <w:rFonts w:ascii="Arial" w:hAnsi="Arial" w:cs="Arial"/>
          <w:sz w:val="24"/>
          <w:szCs w:val="24"/>
          <w:lang w:val="sr-Latn-ME"/>
        </w:rPr>
        <w:t>: Značajan broj ispitanika izražava nedostatak znanja ili neodređenost u pogledu stvarnih razloga za deportaciju, što odražava ili opšti nedostatak informacija ili nepovjerenje u dostupne informacije.</w:t>
      </w:r>
    </w:p>
    <w:p w:rsidR="00E15318" w:rsidRDefault="00000000">
      <w:pPr>
        <w:jc w:val="both"/>
        <w:rPr>
          <w:rFonts w:ascii="Arial" w:hAnsi="Arial" w:cs="Arial"/>
          <w:sz w:val="24"/>
          <w:szCs w:val="24"/>
          <w:lang w:val="sr-Latn-ME"/>
        </w:rPr>
      </w:pPr>
      <w:r>
        <w:rPr>
          <w:rFonts w:ascii="Arial" w:hAnsi="Arial" w:cs="Arial"/>
          <w:b/>
          <w:bCs/>
          <w:sz w:val="24"/>
          <w:szCs w:val="24"/>
          <w:lang w:val="sr-Latn-ME"/>
        </w:rPr>
        <w:t>Kritika i osuda postupka</w:t>
      </w:r>
      <w:r>
        <w:rPr>
          <w:rFonts w:ascii="Arial" w:hAnsi="Arial" w:cs="Arial"/>
          <w:sz w:val="24"/>
          <w:szCs w:val="24"/>
          <w:lang w:val="sr-Latn-ME"/>
        </w:rPr>
        <w:t>: Ispitanici su takođe iskazali kritike na račun akcije deportacije, smatrajući je nehumanom, nepravednom ili čak izdajničkom.</w:t>
      </w:r>
    </w:p>
    <w:p w:rsidR="00E15318" w:rsidRDefault="00E15318">
      <w:pPr>
        <w:jc w:val="both"/>
        <w:rPr>
          <w:rFonts w:ascii="Arial" w:hAnsi="Arial" w:cs="Arial"/>
          <w:b/>
          <w:bCs/>
          <w:sz w:val="24"/>
          <w:szCs w:val="24"/>
          <w:lang w:val="sr-Latn-ME"/>
        </w:rPr>
      </w:pPr>
    </w:p>
    <w:p w:rsidR="00E15318" w:rsidRDefault="00000000">
      <w:pPr>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br w:type="page"/>
      </w:r>
    </w:p>
    <w:p w:rsidR="00E15318" w:rsidRDefault="00E15318">
      <w:pPr>
        <w:jc w:val="both"/>
        <w:rPr>
          <w:rFonts w:ascii="Arial" w:hAnsi="Arial" w:cs="Arial"/>
          <w:b/>
          <w:bCs/>
          <w:color w:val="4472C4" w:themeColor="accent1"/>
          <w:sz w:val="24"/>
          <w:szCs w:val="24"/>
          <w:lang w:val="sr-Latn-ME"/>
        </w:rPr>
      </w:pPr>
    </w:p>
    <w:p w:rsidR="00E15318" w:rsidRDefault="00E15318">
      <w:pPr>
        <w:jc w:val="both"/>
        <w:rPr>
          <w:rFonts w:ascii="Arial" w:hAnsi="Arial" w:cs="Arial"/>
          <w:b/>
          <w:bCs/>
          <w:color w:val="4472C4" w:themeColor="accent1"/>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Da li su deportovane izbjeglice bile civili?</w:t>
      </w:r>
    </w:p>
    <w:p w:rsidR="00E15318" w:rsidRDefault="00000000">
      <w:pPr>
        <w:jc w:val="center"/>
        <w:rPr>
          <w:rFonts w:ascii="Arial" w:hAnsi="Arial" w:cs="Arial"/>
          <w:b/>
          <w:bCs/>
          <w:lang w:val="sr-Latn-ME"/>
        </w:rPr>
      </w:pPr>
      <w:r>
        <w:rPr>
          <w:noProof/>
          <w:lang w:val="sr-Latn-ME"/>
        </w:rPr>
        <w:drawing>
          <wp:inline distT="0" distB="0" distL="0" distR="0">
            <wp:extent cx="4563745" cy="2233930"/>
            <wp:effectExtent l="0" t="0" r="0" b="0"/>
            <wp:docPr id="207471717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15318" w:rsidRDefault="00000000">
      <w:pPr>
        <w:jc w:val="both"/>
        <w:rPr>
          <w:rFonts w:ascii="Arial" w:hAnsi="Arial" w:cs="Arial"/>
          <w:sz w:val="24"/>
          <w:szCs w:val="24"/>
          <w:lang w:val="sr-Latn-ME"/>
        </w:rPr>
      </w:pPr>
      <w:r>
        <w:rPr>
          <w:rFonts w:ascii="Arial" w:hAnsi="Arial" w:cs="Arial"/>
          <w:sz w:val="24"/>
          <w:szCs w:val="24"/>
          <w:lang w:val="sr-Latn-ME"/>
        </w:rPr>
        <w:t>Skoro polovina ispitanika (47,6%) vjeruje da su deportovane izbjeglice bile civili, dok gotovo petina (19,2%) ispitanika smatra da nisu. Trećina ispitanika (33,3%) nije sigurna u status deportovanih.</w:t>
      </w:r>
    </w:p>
    <w:p w:rsidR="00E15318" w:rsidRDefault="00000000">
      <w:pPr>
        <w:jc w:val="both"/>
        <w:rPr>
          <w:rFonts w:ascii="Arial" w:hAnsi="Arial" w:cs="Arial"/>
          <w:sz w:val="24"/>
          <w:szCs w:val="24"/>
          <w:lang w:val="sr-Latn-ME"/>
        </w:rPr>
      </w:pPr>
      <w:r>
        <w:rPr>
          <w:rFonts w:ascii="Arial" w:hAnsi="Arial" w:cs="Arial"/>
          <w:sz w:val="24"/>
          <w:szCs w:val="24"/>
          <w:lang w:val="sr-Latn-ME"/>
        </w:rPr>
        <w:t>Mlađe grupe (18-24 godine) pokazuju najveću neodlučnost, sa 43.8% onih koji nisu sigurni da li su izbjeglice bile civili, dok starije generacije (65+) pokazuju znatno veću sigurnost u svoje stavove, sa 58.2% onih koji smatraju da izbjeglice jesu bile civili.</w:t>
      </w:r>
    </w:p>
    <w:p w:rsidR="00E15318" w:rsidRDefault="00000000">
      <w:pPr>
        <w:jc w:val="both"/>
        <w:rPr>
          <w:rFonts w:ascii="Arial" w:hAnsi="Arial" w:cs="Arial"/>
          <w:sz w:val="24"/>
          <w:szCs w:val="24"/>
          <w:lang w:val="sr-Latn-ME"/>
        </w:rPr>
      </w:pPr>
      <w:r>
        <w:rPr>
          <w:rFonts w:ascii="Arial" w:hAnsi="Arial" w:cs="Arial"/>
          <w:sz w:val="24"/>
          <w:szCs w:val="24"/>
          <w:lang w:val="sr-Latn-ME"/>
        </w:rPr>
        <w:t>Ispitanici crnogorske nacionalnosti većinski smatraju da su izbjeglice bile civili (73.9%), sa relativno malim procentom koji misli suprotno (3.6%). Ispitanici srpske nacionalnosti su podijeljeniji, sa 26.6% koji vjeruju da su deportovane izbjeglice bile civili i značajnim procentom (30.4%) koji misli da nisu bile civili.</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000000">
      <w:pPr>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br w:type="page"/>
      </w:r>
    </w:p>
    <w:p w:rsidR="00E15318" w:rsidRDefault="00E15318">
      <w:pPr>
        <w:jc w:val="both"/>
        <w:rPr>
          <w:rFonts w:ascii="Arial" w:hAnsi="Arial" w:cs="Arial"/>
          <w:b/>
          <w:bCs/>
          <w:color w:val="4472C4" w:themeColor="accent1"/>
          <w:sz w:val="24"/>
          <w:szCs w:val="24"/>
          <w:lang w:val="sr-Latn-ME"/>
        </w:rPr>
      </w:pPr>
    </w:p>
    <w:p w:rsidR="00E15318" w:rsidRDefault="00E15318">
      <w:pPr>
        <w:jc w:val="both"/>
        <w:rPr>
          <w:rFonts w:ascii="Arial" w:hAnsi="Arial" w:cs="Arial"/>
          <w:b/>
          <w:bCs/>
          <w:color w:val="4472C4" w:themeColor="accent1"/>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Da li je ta deportacija bila opravdana?</w:t>
      </w:r>
    </w:p>
    <w:p w:rsidR="00E15318" w:rsidRDefault="00000000">
      <w:pPr>
        <w:jc w:val="center"/>
        <w:rPr>
          <w:sz w:val="24"/>
          <w:szCs w:val="24"/>
          <w:lang w:val="sr-Latn-ME"/>
        </w:rPr>
      </w:pPr>
      <w:r>
        <w:rPr>
          <w:noProof/>
          <w:lang w:val="sr-Latn-ME"/>
        </w:rPr>
        <w:drawing>
          <wp:inline distT="0" distB="0" distL="0" distR="0">
            <wp:extent cx="4572000" cy="2743200"/>
            <wp:effectExtent l="0" t="0" r="0" b="0"/>
            <wp:docPr id="16327787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15318" w:rsidRDefault="00E15318">
      <w:pPr>
        <w:jc w:val="both"/>
        <w:rPr>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 xml:space="preserve">Čak 29.4% ispitanika smatra da je deportacija bila potpuno opravdana, a da je djelimično opravdana smatra 3.8%. Dakle, trećina ispitanika misli da je ova policijska operacija bila potpuno ili djelimično opravdana. Petina ispitanika (19,5%) jasno izražava stav da deportacija nije bila opravdana. Skoro polovina (47,3%) ne osjeća da ima dovoljno informacija ili osnova za formiranje mišljenja o opravdanosti ovog događaja. </w:t>
      </w:r>
    </w:p>
    <w:p w:rsidR="00E15318" w:rsidRDefault="00000000">
      <w:pPr>
        <w:jc w:val="both"/>
        <w:rPr>
          <w:rFonts w:ascii="Arial" w:hAnsi="Arial" w:cs="Arial"/>
          <w:sz w:val="24"/>
          <w:szCs w:val="24"/>
          <w:lang w:val="sr-Latn-ME"/>
        </w:rPr>
      </w:pPr>
      <w:r>
        <w:rPr>
          <w:rFonts w:ascii="Arial" w:hAnsi="Arial" w:cs="Arial"/>
          <w:sz w:val="24"/>
          <w:szCs w:val="24"/>
          <w:lang w:val="sr-Latn-ME"/>
        </w:rPr>
        <w:t>Mlađe starosne grupe (18-24 godine) pokazuju visok nivo neodlučnosti (56.3% "Ne mogu da procijenim"), dok je među starijom starosnom grupom (65+ godine) veći procenat onih koji smatraju deportaciju potpuno opravdanom (34.2%).</w:t>
      </w:r>
    </w:p>
    <w:p w:rsidR="00E15318" w:rsidRDefault="00000000">
      <w:pPr>
        <w:jc w:val="both"/>
        <w:rPr>
          <w:rFonts w:ascii="Arial" w:hAnsi="Arial" w:cs="Arial"/>
          <w:sz w:val="24"/>
          <w:szCs w:val="24"/>
          <w:lang w:val="sr-Latn-ME"/>
        </w:rPr>
      </w:pPr>
      <w:r>
        <w:rPr>
          <w:rFonts w:ascii="Arial" w:hAnsi="Arial" w:cs="Arial"/>
          <w:sz w:val="24"/>
          <w:szCs w:val="24"/>
          <w:lang w:val="sr-Latn-ME"/>
        </w:rPr>
        <w:t>Ispitanici crnogorske nacionalnosti su relativno podijeljeni, s većim procentom onih koji ne mogu da procijene opravdanost (54.1%), ali i značajnim procentom koji smatra da deportacija nije bila opravdana (27.0%). S druge strane, o potpunoj opravdanosti deportacije izjasnilo se čak 41.3% ispitanika srpske nacionalnosti.</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Ukršteni podaci ukazuju na značajnu korelaciju između dužine boravka u Herceg-Novom i formiranja mišljenja o opravdanosti deportacije iz 1992. godine. Dok  stanovnici koji kraće žive u Herceg Novom pokazuju veći stepen neodlučnosti, duže nastanjene porodice češće imaju jasno formirana mišljenja o ovom pitanju, bilo da podržavaju ili osporavaju opravdanost deportacije. Tako, ispitanici koji žive duže od 20, ali i 30 godina u ovom gradu, smatraju deportaciju potpuno opravdanom (32.3%), a 20.3% je smatra neopravdanom. Manje od polovine (oko 44.0% u obje grupe), ne može procijeniti opravdanost deportacije. </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Da li ste upoznali neku žrtvu deportacije ili člana njene porodice?</w:t>
      </w:r>
    </w:p>
    <w:p w:rsidR="00E15318" w:rsidRDefault="00000000">
      <w:pPr>
        <w:jc w:val="center"/>
        <w:rPr>
          <w:b/>
          <w:bCs/>
          <w:sz w:val="24"/>
          <w:szCs w:val="24"/>
          <w:lang w:val="sr-Latn-ME"/>
        </w:rPr>
      </w:pPr>
      <w:r>
        <w:rPr>
          <w:noProof/>
          <w:lang w:val="sr-Latn-ME"/>
        </w:rPr>
        <w:drawing>
          <wp:inline distT="0" distB="0" distL="0" distR="0">
            <wp:extent cx="4269740" cy="2122805"/>
            <wp:effectExtent l="0" t="0" r="0" b="0"/>
            <wp:docPr id="30521755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15318" w:rsidRDefault="00E15318">
      <w:pPr>
        <w:jc w:val="both"/>
        <w:rPr>
          <w:rFonts w:ascii="Arial" w:hAnsi="Arial" w:cs="Arial"/>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Veliki procenat ispitanika (89.1%) nije upoznao žrtvu deportacije ili člana njene porodice, a svaki deseti ispitanik (10.9%) je upoznao.</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Mlađe starosne grupe (18-24 godine) navode da nisu upoznale nijednu žrtvu deportacije, a 17.7% starije starosne grupe, posebno osobe od 65 godina i više, navode da jesu. </w:t>
      </w:r>
    </w:p>
    <w:p w:rsidR="00E15318" w:rsidRDefault="00000000">
      <w:pPr>
        <w:jc w:val="both"/>
        <w:rPr>
          <w:rFonts w:ascii="Arial" w:hAnsi="Arial" w:cs="Arial"/>
          <w:sz w:val="24"/>
          <w:szCs w:val="24"/>
          <w:lang w:val="sr-Latn-ME"/>
        </w:rPr>
      </w:pPr>
      <w:r>
        <w:rPr>
          <w:rFonts w:ascii="Arial" w:hAnsi="Arial" w:cs="Arial"/>
          <w:sz w:val="24"/>
          <w:szCs w:val="24"/>
          <w:lang w:val="sr-Latn-ME"/>
        </w:rPr>
        <w:t>14.4% Crnogoraca i 8.2% Srba je upoznalo neku žrtvu deportacije ili člana njene porodice.</w:t>
      </w:r>
      <w:r>
        <w:rPr>
          <w:rStyle w:val="FootnoteReference"/>
          <w:rFonts w:ascii="Arial" w:hAnsi="Arial" w:cs="Arial"/>
          <w:sz w:val="24"/>
          <w:szCs w:val="24"/>
          <w:lang w:val="sr-Latn-ME"/>
        </w:rPr>
        <w:footnoteReference w:id="3"/>
      </w:r>
    </w:p>
    <w:p w:rsidR="00E15318" w:rsidRDefault="00E15318">
      <w:pPr>
        <w:jc w:val="both"/>
        <w:rPr>
          <w:rFonts w:ascii="Arial" w:hAnsi="Arial" w:cs="Arial"/>
          <w:sz w:val="24"/>
          <w:szCs w:val="24"/>
          <w:lang w:val="sr-Latn-ME"/>
        </w:rPr>
      </w:pPr>
    </w:p>
    <w:p w:rsidR="00E15318" w:rsidRDefault="00000000">
      <w:pPr>
        <w:rPr>
          <w:rFonts w:ascii="Arial" w:hAnsi="Arial" w:cs="Arial"/>
          <w:sz w:val="24"/>
          <w:szCs w:val="24"/>
          <w:lang w:val="sr-Latn-ME"/>
        </w:rPr>
      </w:pPr>
      <w:r>
        <w:rPr>
          <w:rFonts w:ascii="Arial" w:hAnsi="Arial" w:cs="Arial"/>
          <w:sz w:val="24"/>
          <w:szCs w:val="24"/>
          <w:lang w:val="sr-Latn-ME"/>
        </w:rPr>
        <w:br w:type="page"/>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Da li ste upoznati sa tim koliko je izbjeglica deportovano iz CB Herceg Novi, i koliko je njih stradalo nakon izručenja?</w:t>
      </w:r>
      <w:r>
        <w:rPr>
          <w:rStyle w:val="FootnoteReference"/>
          <w:rFonts w:ascii="Arial" w:hAnsi="Arial" w:cs="Arial"/>
          <w:b/>
          <w:bCs/>
          <w:color w:val="4472C4" w:themeColor="accent1"/>
          <w:sz w:val="24"/>
          <w:szCs w:val="24"/>
          <w:lang w:val="sr-Latn-ME"/>
        </w:rPr>
        <w:footnoteReference w:id="4"/>
      </w:r>
    </w:p>
    <w:p w:rsidR="00E15318" w:rsidRDefault="00000000">
      <w:pPr>
        <w:jc w:val="center"/>
        <w:rPr>
          <w:rFonts w:ascii="Arial" w:hAnsi="Arial" w:cs="Arial"/>
          <w:sz w:val="24"/>
          <w:szCs w:val="24"/>
          <w:lang w:val="sr-Latn-ME"/>
        </w:rPr>
      </w:pPr>
      <w:r>
        <w:rPr>
          <w:noProof/>
          <w:lang w:val="sr-Latn-ME"/>
        </w:rPr>
        <w:drawing>
          <wp:inline distT="0" distB="0" distL="0" distR="0">
            <wp:extent cx="4229735" cy="2075180"/>
            <wp:effectExtent l="0" t="0" r="0" b="0"/>
            <wp:docPr id="4662186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Mali broj od 5% ispitanika je upoznat sa brojem deportovanih izbjeglica, a prosječan broj koji navode je 98 osoba. Oko 16% ispitanika zna nešto o broju onih koji su preživjeli nakon izručenja, a prosječan broj koji navode je 15 osoba. Velika većina, preko tri četvrtine ispitanika (78.4%), nije upoznata ni sa jednim od ovih podataka.</w:t>
      </w:r>
    </w:p>
    <w:p w:rsidR="00E15318" w:rsidRDefault="00E15318">
      <w:pPr>
        <w:jc w:val="both"/>
        <w:rPr>
          <w:rFonts w:ascii="Arial" w:hAnsi="Arial" w:cs="Arial"/>
          <w:sz w:val="24"/>
          <w:szCs w:val="24"/>
          <w:lang w:val="sr-Latn-ME"/>
        </w:rPr>
      </w:pPr>
    </w:p>
    <w:p w:rsidR="00E15318" w:rsidRDefault="00000000">
      <w:pPr>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br w:type="page"/>
      </w:r>
    </w:p>
    <w:p w:rsidR="00E15318" w:rsidRDefault="00E15318">
      <w:pPr>
        <w:jc w:val="both"/>
        <w:rPr>
          <w:rFonts w:ascii="Arial" w:hAnsi="Arial" w:cs="Arial"/>
          <w:b/>
          <w:bCs/>
          <w:color w:val="4472C4" w:themeColor="accent1"/>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 xml:space="preserve">Ko je, po Vašem mišljenju, odgovoran za deportaciju bosansko-hercegovačkih izbjeglica u maju 1992. godine? </w:t>
      </w:r>
    </w:p>
    <w:p w:rsidR="00E15318" w:rsidRDefault="00E15318">
      <w:pPr>
        <w:jc w:val="both"/>
        <w:rPr>
          <w:rFonts w:ascii="Arial" w:hAnsi="Arial" w:cs="Arial"/>
          <w:b/>
          <w:bCs/>
          <w:color w:val="4472C4" w:themeColor="accent1"/>
          <w:sz w:val="24"/>
          <w:szCs w:val="24"/>
          <w:lang w:val="sr-Latn-ME"/>
        </w:rPr>
      </w:pPr>
    </w:p>
    <w:p w:rsidR="00E15318" w:rsidRDefault="00000000">
      <w:pPr>
        <w:jc w:val="center"/>
        <w:rPr>
          <w:b/>
          <w:bCs/>
          <w:sz w:val="28"/>
          <w:szCs w:val="28"/>
          <w:lang w:val="sr-Latn-ME"/>
        </w:rPr>
      </w:pPr>
      <w:r>
        <w:rPr>
          <w:noProof/>
          <w:lang w:val="sr-Latn-ME"/>
        </w:rPr>
        <w:drawing>
          <wp:inline distT="0" distB="0" distL="0" distR="0">
            <wp:extent cx="5588000" cy="3696970"/>
            <wp:effectExtent l="0" t="0" r="0" b="0"/>
            <wp:docPr id="173502904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15318" w:rsidRDefault="00E15318">
      <w:pPr>
        <w:jc w:val="both"/>
        <w:rPr>
          <w:rFonts w:ascii="Arial" w:hAnsi="Arial" w:cs="Arial"/>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 xml:space="preserve">Najveći broj ispitanika (44.4%) smatra da su savezne vlasti SRJ bile glavni odgovorni za deportaciju, a značajan dio ispitanika (20,8%) vidi podijeljenu odgovornost </w:t>
      </w:r>
      <w:r>
        <w:rPr>
          <w:rFonts w:ascii="Arial" w:eastAsia="Times New Roman" w:hAnsi="Arial" w:cs="Arial"/>
          <w:kern w:val="0"/>
          <w:sz w:val="24"/>
          <w:szCs w:val="24"/>
          <w:lang w:val="sr-Latn-ME" w:eastAsia="en-GB"/>
          <w14:ligatures w14:val="none"/>
        </w:rPr>
        <w:t>izmedu vlasti Crne Gore i Republike Srpske u BiH</w:t>
      </w:r>
      <w:r>
        <w:rPr>
          <w:rFonts w:ascii="Arial" w:hAnsi="Arial" w:cs="Arial"/>
          <w:sz w:val="24"/>
          <w:szCs w:val="24"/>
          <w:lang w:val="sr-Latn-ME"/>
        </w:rPr>
        <w:t xml:space="preserve">. Skoro petina ispitanika (19,2%) nije sigurna u procjenu odgovornosti. Manji broj ispitanika smatra Republičku vlast Crne Gore u to vrijeme (6.6%) i Međunarodnu zajednicu (6.0%) odgovornima za deportaciju. </w:t>
      </w:r>
    </w:p>
    <w:p w:rsidR="00E15318" w:rsidRDefault="00000000">
      <w:pPr>
        <w:jc w:val="both"/>
        <w:rPr>
          <w:rFonts w:ascii="Arial" w:hAnsi="Arial" w:cs="Arial"/>
          <w:sz w:val="24"/>
          <w:szCs w:val="24"/>
          <w:lang w:val="sr-Latn-ME"/>
        </w:rPr>
      </w:pPr>
      <w:r>
        <w:rPr>
          <w:rFonts w:ascii="Arial" w:hAnsi="Arial" w:cs="Arial"/>
          <w:sz w:val="24"/>
          <w:szCs w:val="24"/>
          <w:lang w:val="sr-Latn-ME"/>
        </w:rPr>
        <w:t>Mlađe generacije (18-24 godine) u većem procentu nisu sigurne ko je odgovoran (41.8% ističe da ne može da procijeni), dok starije generacije češće imenuju vlasti na nivou Savezne Republike Jugoslavije (SRJ) kao glavne odgovorne. Sa povećanjem broja godina ispitanika raste i broj onih koji to smatraju (sa 26.9% na 48.3%).</w:t>
      </w:r>
    </w:p>
    <w:p w:rsidR="00E15318" w:rsidRDefault="00000000">
      <w:pPr>
        <w:jc w:val="both"/>
        <w:rPr>
          <w:rFonts w:ascii="Arial" w:hAnsi="Arial" w:cs="Arial"/>
          <w:b/>
          <w:bCs/>
          <w:lang w:val="sr-Latn-ME"/>
        </w:rPr>
      </w:pPr>
      <w:r>
        <w:rPr>
          <w:rFonts w:ascii="Arial" w:hAnsi="Arial" w:cs="Arial"/>
          <w:sz w:val="24"/>
          <w:szCs w:val="24"/>
          <w:lang w:val="sr-Latn-ME"/>
        </w:rPr>
        <w:t xml:space="preserve">Ispitanici crnogorske nacionalnosti uglavnom smatraju da su vlasti SRJ odgovorne (62.9%), što je najviši procenat među svim navedenim grupama. Ispitanici srpske nacionalnosti, jer veliki broj njih (33,5%) smatra da je odgovornost </w:t>
      </w:r>
      <w:r>
        <w:rPr>
          <w:rFonts w:ascii="Arial" w:eastAsia="Times New Roman" w:hAnsi="Arial" w:cs="Arial"/>
          <w:kern w:val="0"/>
          <w:sz w:val="24"/>
          <w:szCs w:val="24"/>
          <w:lang w:val="sr-Latn-ME" w:eastAsia="en-GB"/>
          <w14:ligatures w14:val="none"/>
        </w:rPr>
        <w:t xml:space="preserve">vlasti na nivou Savezne Republike Jugoslavije (SRJ), a da je odgovornost </w:t>
      </w:r>
      <w:r>
        <w:rPr>
          <w:rFonts w:ascii="Arial" w:hAnsi="Arial" w:cs="Arial"/>
          <w:sz w:val="24"/>
          <w:szCs w:val="24"/>
          <w:lang w:val="sr-Latn-ME"/>
        </w:rPr>
        <w:t xml:space="preserve">podijeljena između Crne Gore i </w:t>
      </w:r>
      <w:r>
        <w:rPr>
          <w:rFonts w:ascii="Arial" w:eastAsia="Times New Roman" w:hAnsi="Arial" w:cs="Arial"/>
          <w:kern w:val="0"/>
          <w:sz w:val="24"/>
          <w:szCs w:val="24"/>
          <w:lang w:val="sr-Latn-ME" w:eastAsia="en-GB"/>
          <w14:ligatures w14:val="none"/>
        </w:rPr>
        <w:t xml:space="preserve">Republike Srpske u BiH stav je </w:t>
      </w:r>
      <w:r>
        <w:rPr>
          <w:rFonts w:ascii="Arial" w:hAnsi="Arial" w:cs="Arial"/>
          <w:sz w:val="24"/>
          <w:szCs w:val="24"/>
          <w:lang w:val="sr-Latn-ME"/>
        </w:rPr>
        <w:t>30.8% ispitanika srpske nacionalnosti.</w:t>
      </w:r>
    </w:p>
    <w:p w:rsidR="00E15318" w:rsidRDefault="00000000">
      <w:pPr>
        <w:jc w:val="both"/>
        <w:rPr>
          <w:rFonts w:ascii="Arial" w:hAnsi="Arial" w:cs="Arial"/>
          <w:sz w:val="24"/>
          <w:szCs w:val="24"/>
          <w:lang w:val="sr-Latn-ME"/>
        </w:rPr>
      </w:pPr>
      <w:r>
        <w:rPr>
          <w:rFonts w:ascii="Arial" w:hAnsi="Arial" w:cs="Arial"/>
          <w:sz w:val="24"/>
          <w:szCs w:val="24"/>
          <w:lang w:val="sr-Latn-ME"/>
        </w:rPr>
        <w:t>Podaci ovog istraživanja pokazuju da stanovnici koji duže žive u Herceg-Novo imaju formirano mišljenje o odgovornosti za deportaciju iz 1992. godine. Većina onih koji su u Herceg-Novom više od 20 godina smatraju vlasti SRJ glavnim odgovornim ili vjeruju u podijeljenu odgovornost, dok su noviji stanovnici neodlučniji.</w:t>
      </w:r>
    </w:p>
    <w:p w:rsidR="00E15318" w:rsidRDefault="00E15318">
      <w:pPr>
        <w:jc w:val="both"/>
        <w:rPr>
          <w:rFonts w:ascii="Arial" w:hAnsi="Arial" w:cs="Arial"/>
          <w:sz w:val="24"/>
          <w:szCs w:val="24"/>
          <w:lang w:val="sr-Latn-ME"/>
        </w:rPr>
      </w:pPr>
    </w:p>
    <w:p w:rsidR="00E15318" w:rsidRDefault="00E15318">
      <w:pPr>
        <w:jc w:val="both"/>
        <w:rPr>
          <w:rFonts w:ascii="Arial" w:hAnsi="Arial" w:cs="Arial"/>
          <w:b/>
          <w:bCs/>
          <w:color w:val="4472C4" w:themeColor="accent1"/>
          <w:sz w:val="24"/>
          <w:szCs w:val="24"/>
          <w:lang w:val="sr-Latn-ME"/>
        </w:rPr>
      </w:pPr>
    </w:p>
    <w:p w:rsidR="00E15318" w:rsidRDefault="00000000">
      <w:pPr>
        <w:pStyle w:val="ListParagraph"/>
        <w:numPr>
          <w:ilvl w:val="0"/>
          <w:numId w:val="3"/>
        </w:numPr>
        <w:jc w:val="both"/>
        <w:rPr>
          <w:rFonts w:ascii="Arial" w:hAnsi="Arial" w:cs="Arial"/>
          <w:b/>
          <w:bCs/>
          <w:lang w:val="sr-Latn-ME"/>
        </w:rPr>
      </w:pPr>
      <w:r>
        <w:rPr>
          <w:rFonts w:ascii="Arial" w:hAnsi="Arial" w:cs="Arial"/>
          <w:b/>
          <w:bCs/>
          <w:color w:val="4472C4" w:themeColor="accent1"/>
          <w:sz w:val="24"/>
          <w:szCs w:val="24"/>
          <w:lang w:val="sr-Latn-ME"/>
        </w:rPr>
        <w:t>Da li ste, u principu, za to da se obilježe mjesta ratnih zločina i važnih istorijskih događaja?</w:t>
      </w:r>
    </w:p>
    <w:p w:rsidR="00E15318" w:rsidRDefault="00000000">
      <w:pPr>
        <w:rPr>
          <w:rFonts w:ascii="Arial" w:hAnsi="Arial" w:cs="Arial"/>
          <w:b/>
          <w:bCs/>
          <w:lang w:val="sr-Latn-ME"/>
        </w:rPr>
      </w:pPr>
      <w:r>
        <w:rPr>
          <w:noProof/>
          <w:lang w:val="sr-Latn-ME"/>
        </w:rPr>
        <w:drawing>
          <wp:inline distT="0" distB="0" distL="0" distR="0">
            <wp:extent cx="5657850" cy="3267075"/>
            <wp:effectExtent l="0" t="0" r="0" b="0"/>
            <wp:docPr id="3505573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15318" w:rsidRDefault="00E15318">
      <w:pPr>
        <w:rPr>
          <w:rFonts w:ascii="Arial" w:hAnsi="Arial" w:cs="Arial"/>
          <w:b/>
          <w:bCs/>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Skoro polovina ispitanika se u većoj ili manjoj mjeri slaže sa tim da je važno obilježiti mjesta svih ratnih zločina i istorijskih događaja (47.8%). Značajan broj ispitanika (27,2%) smatra da je vrlo važno obilježiti mjesta svih ratnih zločina i istorijskih događaja kako bi se iz prošlosti učilo i izbjeglo ponavljanje istih grešaka, dok je 20.6% anketiranih uglavnom za to. Veliki procenat ispitanika (27,8%) nije siguran ili ne želi da izrazi mišljenje na ovu temu. Približan je procenat onih koji su potpuno protiv (13.0%) i onih koji su uglavnom protiv (11.4%) obilježavanja mjesta ratnih zločina.</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Mlađe generacije (18-24 godine) pokazuju visok stepen neodlučnosti (njih 52.2%), dok starije generacije (65+ godine) dominantno smatraju da treba obilježiti mjesta ratnih zločina – njih 40.2% je odgovorilo "Potpuno sam za to". </w:t>
      </w:r>
    </w:p>
    <w:p w:rsidR="00E15318" w:rsidRDefault="00000000">
      <w:pPr>
        <w:jc w:val="both"/>
        <w:rPr>
          <w:rFonts w:ascii="Arial" w:hAnsi="Arial" w:cs="Arial"/>
          <w:sz w:val="24"/>
          <w:szCs w:val="24"/>
          <w:lang w:val="sr-Latn-ME"/>
        </w:rPr>
      </w:pPr>
      <w:r>
        <w:rPr>
          <w:rFonts w:ascii="Arial" w:hAnsi="Arial" w:cs="Arial"/>
          <w:sz w:val="24"/>
          <w:szCs w:val="24"/>
          <w:lang w:val="sr-Latn-ME"/>
        </w:rPr>
        <w:t>Ispitanici crnogorske nacionalnosti najviše podržavaju obilježavanje mjesta ratnih zločina, s velikim procentom onih koji je "Potpuno za" (39.2%) i "Uglavnom za" (28.4%). S druge strane, među ispitanicima srpske nacionalnosti je 33.8% onih koji nemaju stav, 15.4% je onih koji su potpuno protiv i 18% je onih koji su uglavnom protiv.</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b/>
          <w:bCs/>
          <w:color w:val="4472C4" w:themeColor="accent1"/>
          <w:sz w:val="24"/>
          <w:szCs w:val="24"/>
          <w:lang w:val="sr-Latn-ME"/>
        </w:rPr>
      </w:pPr>
    </w:p>
    <w:p w:rsidR="00E15318" w:rsidRDefault="00E15318">
      <w:pPr>
        <w:jc w:val="both"/>
        <w:rPr>
          <w:rFonts w:ascii="Arial" w:hAnsi="Arial" w:cs="Arial"/>
          <w:b/>
          <w:bCs/>
          <w:color w:val="4472C4" w:themeColor="accent1"/>
          <w:sz w:val="24"/>
          <w:szCs w:val="24"/>
          <w:lang w:val="sr-Latn-ME"/>
        </w:rPr>
      </w:pPr>
    </w:p>
    <w:p w:rsidR="00E15318" w:rsidRDefault="00000000">
      <w:pPr>
        <w:pStyle w:val="ListParagraph"/>
        <w:numPr>
          <w:ilvl w:val="0"/>
          <w:numId w:val="3"/>
        </w:numPr>
        <w:jc w:val="both"/>
        <w:rPr>
          <w:b/>
          <w:bCs/>
          <w:color w:val="4472C4" w:themeColor="accent1"/>
          <w:sz w:val="28"/>
          <w:szCs w:val="28"/>
          <w:lang w:val="sr-Latn-ME"/>
        </w:rPr>
      </w:pPr>
      <w:r>
        <w:rPr>
          <w:rFonts w:ascii="Arial" w:hAnsi="Arial" w:cs="Arial"/>
          <w:b/>
          <w:bCs/>
          <w:color w:val="4472C4" w:themeColor="accent1"/>
          <w:sz w:val="24"/>
          <w:szCs w:val="24"/>
          <w:lang w:val="sr-Latn-ME"/>
        </w:rPr>
        <w:t>Da li ste za ili protiv podizanja spomenika žrtvama deportacije bosansko-hercegovačkih izbjeglica iz maja 1992. godine ispred Centra bezbjednosti u</w:t>
      </w:r>
      <w:r>
        <w:rPr>
          <w:b/>
          <w:bCs/>
          <w:color w:val="4472C4" w:themeColor="accent1"/>
          <w:sz w:val="24"/>
          <w:szCs w:val="24"/>
          <w:lang w:val="sr-Latn-ME"/>
        </w:rPr>
        <w:t xml:space="preserve"> </w:t>
      </w:r>
      <w:r>
        <w:rPr>
          <w:rFonts w:ascii="Arial" w:hAnsi="Arial" w:cs="Arial"/>
          <w:b/>
          <w:bCs/>
          <w:color w:val="4472C4" w:themeColor="accent1"/>
          <w:sz w:val="24"/>
          <w:szCs w:val="24"/>
          <w:lang w:val="sr-Latn-ME"/>
        </w:rPr>
        <w:t>Herceg-Novom?</w:t>
      </w:r>
    </w:p>
    <w:p w:rsidR="00E15318" w:rsidRDefault="00E15318">
      <w:pPr>
        <w:jc w:val="both"/>
        <w:rPr>
          <w:b/>
          <w:bCs/>
          <w:sz w:val="18"/>
          <w:szCs w:val="18"/>
          <w:lang w:val="sr-Latn-ME"/>
        </w:rPr>
      </w:pPr>
    </w:p>
    <w:p w:rsidR="00E15318" w:rsidRDefault="00000000">
      <w:pPr>
        <w:jc w:val="center"/>
        <w:rPr>
          <w:b/>
          <w:bCs/>
          <w:sz w:val="18"/>
          <w:szCs w:val="18"/>
          <w:lang w:val="sr-Latn-ME"/>
        </w:rPr>
      </w:pPr>
      <w:r>
        <w:rPr>
          <w:noProof/>
          <w:lang w:val="sr-Latn-ME"/>
        </w:rPr>
        <w:drawing>
          <wp:inline distT="0" distB="0" distL="0" distR="0">
            <wp:extent cx="4572000" cy="2743200"/>
            <wp:effectExtent l="0" t="0" r="0" b="0"/>
            <wp:docPr id="195994664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15318" w:rsidRDefault="00E15318">
      <w:pPr>
        <w:jc w:val="both"/>
        <w:rPr>
          <w:b/>
          <w:bCs/>
          <w:sz w:val="18"/>
          <w:szCs w:val="18"/>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Trećina ispitanika (33,2%) podržava podizanje spomenika</w:t>
      </w:r>
      <w:r>
        <w:rPr>
          <w:b/>
          <w:bCs/>
          <w:sz w:val="28"/>
          <w:szCs w:val="28"/>
          <w:lang w:val="sr-Latn-ME"/>
        </w:rPr>
        <w:t xml:space="preserve"> </w:t>
      </w:r>
      <w:r>
        <w:rPr>
          <w:rFonts w:ascii="Arial" w:hAnsi="Arial" w:cs="Arial"/>
          <w:sz w:val="24"/>
          <w:szCs w:val="24"/>
          <w:lang w:val="sr-Latn-ME"/>
        </w:rPr>
        <w:t>žrtvama deportacije bosansko-hercegovačkih izbjeglica iz maja 1992. godine ispred Centra bezbjednosti u Herceg-Novom, dok je približan, mada niži procenat (30.2%) onih koji nisu za to. Najviše je onih koji imaju neutralan stav po ovom pitanju (36.6%).</w:t>
      </w:r>
    </w:p>
    <w:p w:rsidR="00E15318" w:rsidRDefault="00000000">
      <w:pPr>
        <w:jc w:val="both"/>
        <w:rPr>
          <w:rFonts w:ascii="Arial" w:hAnsi="Arial" w:cs="Arial"/>
          <w:sz w:val="24"/>
          <w:szCs w:val="24"/>
          <w:lang w:val="sr-Latn-ME"/>
        </w:rPr>
      </w:pPr>
      <w:r>
        <w:rPr>
          <w:rFonts w:ascii="Arial" w:hAnsi="Arial" w:cs="Arial"/>
          <w:sz w:val="24"/>
          <w:szCs w:val="24"/>
          <w:lang w:val="sr-Latn-ME"/>
        </w:rPr>
        <w:t>Mlađe generacije (18-24 godine) većinom su neutralne (55.2%), dok su stariji (65+ godine) za podizanje spomenika (47.1%). Generacije srednje starosne dobi (35-44 godine) pokazuju podijeljene stavove, s gotovo jednakim procentima onih za i protiv (35.7% i 36.9%).</w:t>
      </w:r>
    </w:p>
    <w:p w:rsidR="00E15318" w:rsidRDefault="00000000">
      <w:pPr>
        <w:jc w:val="both"/>
        <w:rPr>
          <w:rFonts w:ascii="Arial" w:hAnsi="Arial" w:cs="Arial"/>
          <w:sz w:val="24"/>
          <w:szCs w:val="24"/>
          <w:lang w:val="sr-Latn-ME"/>
        </w:rPr>
      </w:pPr>
      <w:r>
        <w:rPr>
          <w:rFonts w:ascii="Arial" w:hAnsi="Arial" w:cs="Arial"/>
          <w:sz w:val="24"/>
          <w:szCs w:val="24"/>
          <w:lang w:val="sr-Latn-ME"/>
        </w:rPr>
        <w:t>Ispitanici crnogorske nacionalnosti većinom podržavaju podizanje spomenika (57.7%), sa relativno malim procentom onih koji su protiv (13.9%). Među ispitanicima srpske nacionalnosti stavovi su podijeljeni, sa značajnim procentom onih koji su protiv (42.9%) podizanja spomenika.</w:t>
      </w:r>
    </w:p>
    <w:p w:rsidR="00E15318" w:rsidRDefault="00000000">
      <w:pPr>
        <w:jc w:val="both"/>
        <w:rPr>
          <w:rFonts w:ascii="Arial" w:hAnsi="Arial" w:cs="Arial"/>
          <w:sz w:val="24"/>
          <w:szCs w:val="24"/>
          <w:lang w:val="sr-Latn-ME"/>
        </w:rPr>
      </w:pPr>
      <w:r>
        <w:rPr>
          <w:rFonts w:ascii="Arial" w:hAnsi="Arial" w:cs="Arial"/>
          <w:sz w:val="24"/>
          <w:szCs w:val="24"/>
          <w:lang w:val="sr-Latn-ME"/>
        </w:rPr>
        <w:t>35.7% stanovnika koji u Herceg-Novom žive manje od deset godina smatra da treba podići spomenik, 28.6% je protiv, dok neutralne stavove ima 35.7%. S druge strane, 35.3% ispitanika koji u Herceg Novom žive duže od 30 godina protivi se podizanju spomenika, 31.3% je za podizanje spomenika, a 33.4% izražava neutralan stav po ovom pitanju.</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b/>
          <w:bCs/>
          <w:color w:val="4472C4" w:themeColor="accent1"/>
          <w:sz w:val="24"/>
          <w:szCs w:val="24"/>
          <w:highlight w:val="yellow"/>
          <w:lang w:val="sr-Latn-ME"/>
        </w:rPr>
      </w:pPr>
    </w:p>
    <w:p w:rsidR="00E15318" w:rsidRDefault="00E15318">
      <w:pPr>
        <w:jc w:val="both"/>
        <w:rPr>
          <w:rFonts w:ascii="Arial" w:hAnsi="Arial" w:cs="Arial"/>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Koliko smatrate da je važno da se u obrazovnom sistemu detaljno proučava lokalna i nacionalna istorija, uključujući i činjenice o ratnim zločinima i drugim teškim kršenjima ljudskih prava?</w:t>
      </w:r>
    </w:p>
    <w:p w:rsidR="00E15318" w:rsidRDefault="00E15318">
      <w:pPr>
        <w:jc w:val="both"/>
        <w:rPr>
          <w:rFonts w:ascii="Arial" w:hAnsi="Arial" w:cs="Arial"/>
          <w:b/>
          <w:bCs/>
          <w:color w:val="4472C4" w:themeColor="accent1"/>
          <w:sz w:val="24"/>
          <w:szCs w:val="24"/>
          <w:lang w:val="sr-Latn-ME"/>
        </w:rPr>
      </w:pPr>
    </w:p>
    <w:p w:rsidR="00E15318" w:rsidRDefault="00000000">
      <w:pPr>
        <w:jc w:val="center"/>
        <w:rPr>
          <w:b/>
          <w:bCs/>
          <w:sz w:val="28"/>
          <w:szCs w:val="28"/>
          <w:lang w:val="sr-Latn-ME"/>
        </w:rPr>
      </w:pPr>
      <w:r>
        <w:rPr>
          <w:noProof/>
          <w:lang w:val="sr-Latn-ME"/>
        </w:rPr>
        <w:drawing>
          <wp:inline distT="0" distB="0" distL="0" distR="0">
            <wp:extent cx="4991100" cy="3185795"/>
            <wp:effectExtent l="0" t="0" r="0" b="0"/>
            <wp:docPr id="12634057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15318" w:rsidRDefault="00E15318">
      <w:pPr>
        <w:jc w:val="both"/>
        <w:rPr>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Preko tri četvrtine ispitanika (77%) smatra da je važno uključiti i teme o ratnim zločinima i drugim teškim kršenjima ljudskih prava u obrazovni sistem. Najveći procenat ispitanika (42.2%) vidi određenu važnost uključivanja ovih tema u obrazovni sistem. Značajan dio ispitanika (34.8%) smatra da je veoma važno detaljno proučavati ovu temu u školama. Tek 7.8% ispitanika ne vidi značaj u detaljnom proučavanju ovih aspekata istorije. Samo 4,2% ispitanika smatra da bi takvo detaljno proučavanje moglo biti štetno, dok 11,0% ne zna.</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Mlađe generacije (18-24 godine) pokazuju značajan interes za detaljno proučavanje istorije, sa 29.9% koji smatraju da je to "Veoma važno", ali i visokim procentom (22.4%) koji "Ne znaju" ili nisu sigurni u svoj stav. Starije generacije (65+ godine) najviše cijene važnost istorijskog obrazovanja sa 51.7% njih koji misle da je "Veoma važno". </w:t>
      </w:r>
    </w:p>
    <w:p w:rsidR="00E15318" w:rsidRDefault="00000000">
      <w:pPr>
        <w:jc w:val="both"/>
        <w:rPr>
          <w:rFonts w:ascii="Arial" w:hAnsi="Arial" w:cs="Arial"/>
          <w:sz w:val="24"/>
          <w:szCs w:val="24"/>
          <w:lang w:val="sr-Latn-ME"/>
        </w:rPr>
      </w:pPr>
      <w:r>
        <w:rPr>
          <w:rFonts w:ascii="Arial" w:hAnsi="Arial" w:cs="Arial"/>
          <w:sz w:val="24"/>
          <w:szCs w:val="24"/>
          <w:lang w:val="sr-Latn-ME"/>
        </w:rPr>
        <w:t>Gotovo polovina ispitanika crnogorske nacionalnosti (44.8%) smatra ovo pitanje veoma važnim, dok 42,3% smatra da je “pomalo važno”. Da je to štetno smatra tek 3.6%, a 4.6% da nije važno. Kao veoma važno, istorijsko obrazovanje vidi  28.6% ispitanika srpske nacionalnosti, 42.9% kao pomalo važno, dok je čak 14.7% neodlučno.</w:t>
      </w:r>
    </w:p>
    <w:p w:rsidR="00E15318" w:rsidRDefault="00E15318">
      <w:pPr>
        <w:jc w:val="both"/>
        <w:rPr>
          <w:rFonts w:ascii="Arial" w:hAnsi="Arial" w:cs="Arial"/>
          <w:sz w:val="24"/>
          <w:szCs w:val="24"/>
          <w:lang w:val="sr-Latn-ME"/>
        </w:rPr>
      </w:pPr>
    </w:p>
    <w:p w:rsidR="00E15318" w:rsidRDefault="00E15318">
      <w:pPr>
        <w:jc w:val="both"/>
        <w:rPr>
          <w:b/>
          <w:bCs/>
          <w:color w:val="4472C4" w:themeColor="accent1"/>
          <w:sz w:val="28"/>
          <w:szCs w:val="28"/>
          <w:lang w:val="sr-Latn-ME"/>
        </w:rPr>
      </w:pPr>
    </w:p>
    <w:p w:rsidR="00E15318" w:rsidRDefault="00000000">
      <w:pPr>
        <w:pStyle w:val="ListParagraph"/>
        <w:numPr>
          <w:ilvl w:val="0"/>
          <w:numId w:val="3"/>
        </w:numPr>
        <w:jc w:val="both"/>
        <w:rPr>
          <w:b/>
          <w:bCs/>
          <w:color w:val="4472C4" w:themeColor="accent1"/>
          <w:sz w:val="28"/>
          <w:szCs w:val="28"/>
          <w:lang w:val="sr-Latn-ME"/>
        </w:rPr>
      </w:pPr>
      <w:r>
        <w:rPr>
          <w:b/>
          <w:bCs/>
          <w:color w:val="4472C4" w:themeColor="accent1"/>
          <w:sz w:val="28"/>
          <w:szCs w:val="28"/>
          <w:lang w:val="sr-Latn-ME"/>
        </w:rPr>
        <w:t>Imate li lično iskustvo ili znate za iskustva bliskih osoba vezano za ratove na prostoru bivše Jugoslavije?</w:t>
      </w:r>
    </w:p>
    <w:p w:rsidR="00E15318" w:rsidRDefault="00E15318">
      <w:pPr>
        <w:jc w:val="both"/>
        <w:rPr>
          <w:b/>
          <w:bCs/>
          <w:sz w:val="28"/>
          <w:szCs w:val="28"/>
          <w:lang w:val="sr-Latn-ME"/>
        </w:rPr>
      </w:pPr>
    </w:p>
    <w:p w:rsidR="00E15318" w:rsidRDefault="00000000">
      <w:pPr>
        <w:jc w:val="center"/>
        <w:rPr>
          <w:b/>
          <w:bCs/>
          <w:sz w:val="28"/>
          <w:szCs w:val="28"/>
          <w:lang w:val="sr-Latn-ME"/>
        </w:rPr>
      </w:pPr>
      <w:r>
        <w:rPr>
          <w:noProof/>
          <w:lang w:val="sr-Latn-ME"/>
        </w:rPr>
        <w:drawing>
          <wp:inline distT="0" distB="0" distL="0" distR="0">
            <wp:extent cx="4699000" cy="2901950"/>
            <wp:effectExtent l="0" t="0" r="6350" b="0"/>
            <wp:docPr id="43830466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15318" w:rsidRDefault="00E15318">
      <w:pPr>
        <w:jc w:val="both"/>
        <w:rPr>
          <w:rFonts w:ascii="Arial" w:hAnsi="Arial" w:cs="Arial"/>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Značajan dio ispitanika (45.2%) ima iskustva prenesena putem porodičnih ili prijateljskih priča. Veći dio ispitanika (35.4%) nema direktna lična iskustva niti su čuli priče o ratu u bivšoj Jugoslaviji. Manji procenat ispitanika (9.8%) ima direktna lična iskustva vezana za rat u bivšoj Jugoslaviji, dok je isto toliko ispitanika (9.6%) reklo da ne zna ili da ne želi da odgovori.</w:t>
      </w:r>
    </w:p>
    <w:p w:rsidR="00E15318" w:rsidRDefault="00000000">
      <w:pPr>
        <w:jc w:val="both"/>
        <w:rPr>
          <w:rFonts w:ascii="Arial" w:hAnsi="Arial" w:cs="Arial"/>
          <w:sz w:val="24"/>
          <w:szCs w:val="24"/>
          <w:lang w:val="sr-Latn-ME"/>
        </w:rPr>
      </w:pPr>
      <w:r>
        <w:rPr>
          <w:rFonts w:ascii="Arial" w:hAnsi="Arial" w:cs="Arial"/>
          <w:sz w:val="24"/>
          <w:szCs w:val="24"/>
          <w:lang w:val="sr-Latn-ME"/>
        </w:rPr>
        <w:t>Među mlađom generacijom (18-24 godine) oko polovine je onih koji su čuli priče prenesene od porodica ili prijatelja (52.2%), a starije generacije (65+ godine) češće imaju lična iskustva (24.1%).</w:t>
      </w:r>
    </w:p>
    <w:p w:rsidR="00E15318" w:rsidRDefault="00000000">
      <w:pPr>
        <w:jc w:val="both"/>
        <w:rPr>
          <w:rFonts w:ascii="Arial" w:hAnsi="Arial" w:cs="Arial"/>
          <w:sz w:val="24"/>
          <w:szCs w:val="24"/>
          <w:lang w:val="sr-Latn-ME"/>
        </w:rPr>
      </w:pPr>
      <w:r>
        <w:rPr>
          <w:rFonts w:ascii="Arial" w:hAnsi="Arial" w:cs="Arial"/>
          <w:sz w:val="24"/>
          <w:szCs w:val="24"/>
          <w:lang w:val="sr-Latn-ME"/>
        </w:rPr>
        <w:t>Crnogorci (55.2%) i Srbi (39.8%), pokazuju slične trendove, s većim procentom priča od porodice ili prijatelja i manjim procentom direktnih ličnih iskustava (9.3% i 10.5%).</w:t>
      </w: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E15318">
      <w:pPr>
        <w:jc w:val="both"/>
        <w:rPr>
          <w:rFonts w:ascii="Arial" w:hAnsi="Arial" w:cs="Arial"/>
          <w:sz w:val="24"/>
          <w:szCs w:val="24"/>
          <w:lang w:val="sr-Latn-ME"/>
        </w:rPr>
      </w:pPr>
    </w:p>
    <w:p w:rsidR="00E15318" w:rsidRDefault="00000000">
      <w:pPr>
        <w:pStyle w:val="ListParagraph"/>
        <w:numPr>
          <w:ilvl w:val="0"/>
          <w:numId w:val="3"/>
        </w:numPr>
        <w:jc w:val="both"/>
        <w:rPr>
          <w:rFonts w:ascii="Arial" w:hAnsi="Arial" w:cs="Arial"/>
          <w:b/>
          <w:bCs/>
          <w:color w:val="4472C4" w:themeColor="accent1"/>
          <w:sz w:val="24"/>
          <w:szCs w:val="24"/>
          <w:lang w:val="sr-Latn-ME"/>
        </w:rPr>
      </w:pPr>
      <w:r>
        <w:rPr>
          <w:rFonts w:ascii="Arial" w:hAnsi="Arial" w:cs="Arial"/>
          <w:b/>
          <w:bCs/>
          <w:color w:val="4472C4" w:themeColor="accent1"/>
          <w:sz w:val="24"/>
          <w:szCs w:val="24"/>
          <w:lang w:val="sr-Latn-ME"/>
        </w:rPr>
        <w:t>Koje aktivnosti smatrate važnim za unapređenje suočavanja sa prošlošću i promovisanje pomirenja?</w:t>
      </w:r>
    </w:p>
    <w:p w:rsidR="00E15318" w:rsidRDefault="00E15318">
      <w:pPr>
        <w:jc w:val="both"/>
        <w:rPr>
          <w:b/>
          <w:bCs/>
          <w:sz w:val="28"/>
          <w:szCs w:val="28"/>
          <w:lang w:val="sr-Latn-ME"/>
        </w:rPr>
      </w:pPr>
    </w:p>
    <w:p w:rsidR="00E15318" w:rsidRDefault="00000000">
      <w:pPr>
        <w:jc w:val="center"/>
        <w:rPr>
          <w:b/>
          <w:bCs/>
          <w:sz w:val="28"/>
          <w:szCs w:val="28"/>
          <w:lang w:val="sr-Latn-ME"/>
        </w:rPr>
      </w:pPr>
      <w:r>
        <w:rPr>
          <w:noProof/>
          <w:lang w:val="sr-Latn-ME"/>
        </w:rPr>
        <w:drawing>
          <wp:inline distT="0" distB="0" distL="0" distR="0">
            <wp:extent cx="4752975" cy="2966720"/>
            <wp:effectExtent l="0" t="0" r="0" b="0"/>
            <wp:docPr id="10243406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15318" w:rsidRDefault="00E15318">
      <w:pPr>
        <w:jc w:val="both"/>
        <w:rPr>
          <w:b/>
          <w:bCs/>
          <w:sz w:val="28"/>
          <w:szCs w:val="28"/>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 xml:space="preserve">Najveći procenat ispitanika (22.2%) vidi direktne mjere podrške žrtvama i njihovim porodicama kao ključan element u procesu pomirenja. Značajan broj ispitanika (19.0%) ističe važnost obrazovanja kao sredstva za preispitivanje istorijskih događaja i razvijanje dubljeg razumijevanja međusobnih perspektiva. </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Da su mediji moćno sredstvo uticaja na javno mnjenje i da kampanje za podizanje svijesti mogu široko informisati javnost o potrebi za pomirenjem i pravim načinima suočavanja s prošlošću smatra 17.5% ispitanika. </w:t>
      </w:r>
    </w:p>
    <w:p w:rsidR="00E15318" w:rsidRDefault="00000000">
      <w:pPr>
        <w:jc w:val="both"/>
        <w:rPr>
          <w:rFonts w:ascii="Arial" w:hAnsi="Arial" w:cs="Arial"/>
          <w:sz w:val="24"/>
          <w:szCs w:val="24"/>
          <w:lang w:val="sr-Latn-ME"/>
        </w:rPr>
      </w:pPr>
      <w:r>
        <w:rPr>
          <w:rFonts w:ascii="Arial" w:hAnsi="Arial" w:cs="Arial"/>
          <w:sz w:val="24"/>
          <w:szCs w:val="24"/>
          <w:lang w:val="sr-Latn-ME"/>
        </w:rPr>
        <w:t xml:space="preserve">Da otvoreni razgovori i debate mogu pružiti platformu za razmjenu mišljenja i iskustava smatra 17% ispitanika, dok 14.2% smatra da izgradnja spomenika ili memorijala žrtvama (14.2%) može poslužiti kao trajni podsjetnik na prošle događaje i simbol opomene za buduće generacije. </w:t>
      </w:r>
    </w:p>
    <w:p w:rsidR="00E15318" w:rsidRDefault="00E15318">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BF18C4" w:rsidRDefault="00BF18C4">
      <w:pPr>
        <w:jc w:val="both"/>
        <w:rPr>
          <w:rFonts w:ascii="Arial" w:hAnsi="Arial" w:cs="Arial"/>
          <w:b/>
          <w:bCs/>
          <w:sz w:val="24"/>
          <w:szCs w:val="24"/>
          <w:lang w:val="sr-Latn-ME"/>
        </w:rPr>
      </w:pPr>
    </w:p>
    <w:p w:rsidR="00BF18C4" w:rsidRDefault="00BF18C4">
      <w:pPr>
        <w:jc w:val="both"/>
        <w:rPr>
          <w:rFonts w:ascii="Arial" w:hAnsi="Arial" w:cs="Arial"/>
          <w:b/>
          <w:bCs/>
          <w:sz w:val="24"/>
          <w:szCs w:val="24"/>
          <w:lang w:val="sr-Latn-ME"/>
        </w:rPr>
      </w:pPr>
    </w:p>
    <w:p w:rsidR="00BF18C4" w:rsidRDefault="00BF18C4">
      <w:pPr>
        <w:jc w:val="both"/>
        <w:rPr>
          <w:rFonts w:ascii="Arial" w:hAnsi="Arial" w:cs="Arial"/>
          <w:b/>
          <w:bCs/>
          <w:sz w:val="24"/>
          <w:szCs w:val="24"/>
          <w:lang w:val="sr-Latn-ME"/>
        </w:rPr>
      </w:pPr>
    </w:p>
    <w:p w:rsidR="00BF18C4" w:rsidRDefault="00BF18C4">
      <w:pPr>
        <w:jc w:val="both"/>
        <w:rPr>
          <w:rFonts w:ascii="Arial" w:hAnsi="Arial" w:cs="Arial"/>
          <w:b/>
          <w:bCs/>
          <w:sz w:val="24"/>
          <w:szCs w:val="24"/>
          <w:lang w:val="sr-Latn-ME"/>
        </w:rPr>
      </w:pPr>
    </w:p>
    <w:p w:rsidR="00E15318" w:rsidRDefault="00E15318">
      <w:pPr>
        <w:jc w:val="both"/>
        <w:rPr>
          <w:rFonts w:ascii="Arial" w:hAnsi="Arial" w:cs="Arial"/>
          <w:b/>
          <w:bCs/>
          <w:sz w:val="24"/>
          <w:szCs w:val="24"/>
          <w:lang w:val="sr-Latn-ME"/>
        </w:rPr>
      </w:pPr>
    </w:p>
    <w:p w:rsidR="00E15318" w:rsidRDefault="00E15318">
      <w:pPr>
        <w:jc w:val="both"/>
        <w:rPr>
          <w:sz w:val="24"/>
          <w:szCs w:val="24"/>
          <w:lang w:val="sr-Latn-ME"/>
        </w:rPr>
      </w:pPr>
    </w:p>
    <w:p w:rsidR="00E15318" w:rsidRDefault="00000000">
      <w:pPr>
        <w:jc w:val="both"/>
        <w:rPr>
          <w:rFonts w:ascii="Arial" w:hAnsi="Arial" w:cs="Arial"/>
          <w:b/>
          <w:bCs/>
          <w:color w:val="2F5496" w:themeColor="accent1" w:themeShade="BF"/>
          <w:sz w:val="24"/>
          <w:szCs w:val="24"/>
          <w:lang w:val="sr-Latn-ME"/>
        </w:rPr>
      </w:pPr>
      <w:r>
        <w:rPr>
          <w:rFonts w:ascii="Arial" w:hAnsi="Arial" w:cs="Arial"/>
          <w:b/>
          <w:bCs/>
          <w:color w:val="2F5496" w:themeColor="accent1" w:themeShade="BF"/>
          <w:sz w:val="24"/>
          <w:szCs w:val="24"/>
          <w:lang w:val="sr-Latn-ME"/>
        </w:rPr>
        <w:t>Zaključak istraživanja</w:t>
      </w:r>
    </w:p>
    <w:p w:rsidR="00E15318" w:rsidRDefault="00E15318">
      <w:pPr>
        <w:jc w:val="both"/>
        <w:rPr>
          <w:rFonts w:ascii="Arial" w:hAnsi="Arial" w:cs="Arial"/>
          <w:sz w:val="24"/>
          <w:szCs w:val="24"/>
          <w:lang w:val="sr-Latn-ME"/>
        </w:rPr>
      </w:pPr>
    </w:p>
    <w:p w:rsidR="00E15318" w:rsidRDefault="00000000">
      <w:pPr>
        <w:jc w:val="both"/>
        <w:rPr>
          <w:rFonts w:ascii="Arial" w:hAnsi="Arial" w:cs="Arial"/>
          <w:sz w:val="24"/>
          <w:szCs w:val="24"/>
          <w:lang w:val="sr-Latn-ME"/>
        </w:rPr>
      </w:pPr>
      <w:r>
        <w:rPr>
          <w:rFonts w:ascii="Arial" w:hAnsi="Arial" w:cs="Arial"/>
          <w:sz w:val="24"/>
          <w:szCs w:val="24"/>
          <w:lang w:val="sr-Latn-ME"/>
        </w:rPr>
        <w:t xml:space="preserve">Istraživanje sprovedeno u Herceg Novom otkriva duboko polarizovana mišljenja građana o različitim aspektima vezanim za nedavnu prošlost, posebno u vezi sa učešćem Crne Gore u ratu u Bosni i Hercegovini te deportacijom bosansko-hercegovačkih izbjeglica 1992. godine. </w:t>
      </w:r>
    </w:p>
    <w:p w:rsidR="00E15318" w:rsidRDefault="00000000">
      <w:pPr>
        <w:jc w:val="both"/>
        <w:rPr>
          <w:rFonts w:ascii="Arial" w:hAnsi="Arial" w:cs="Arial"/>
          <w:sz w:val="24"/>
          <w:szCs w:val="24"/>
          <w:lang w:val="sr-Latn-ME"/>
        </w:rPr>
      </w:pPr>
      <w:r>
        <w:rPr>
          <w:rFonts w:ascii="Arial" w:hAnsi="Arial" w:cs="Arial"/>
          <w:sz w:val="24"/>
          <w:szCs w:val="24"/>
          <w:lang w:val="sr-Latn-ME"/>
        </w:rPr>
        <w:t>Većina od dvije trećine ispitanika je upoznata sa deportacijom izbjeglica 1992. godine, dok značajan broj, oko trećine, smatra da posjeduje visok nivo informisanosti o deportaciji, što možda odražava trajni interes javnosti za ove događaje kao i uticaj medija i porodičnih priča na formiranje kolektivne svijesti.</w:t>
      </w:r>
    </w:p>
    <w:p w:rsidR="00E15318" w:rsidRDefault="00000000">
      <w:pPr>
        <w:jc w:val="both"/>
        <w:rPr>
          <w:rFonts w:ascii="Arial" w:hAnsi="Arial" w:cs="Arial"/>
          <w:sz w:val="24"/>
          <w:szCs w:val="24"/>
          <w:lang w:val="sr-Latn-ME"/>
        </w:rPr>
      </w:pPr>
      <w:r>
        <w:rPr>
          <w:rFonts w:ascii="Arial" w:hAnsi="Arial" w:cs="Arial"/>
          <w:sz w:val="24"/>
          <w:szCs w:val="24"/>
          <w:lang w:val="sr-Latn-ME"/>
        </w:rPr>
        <w:t>Međutim, odgovori na pitanje o opravdanosti deportacije pokazuju da veliki broj građana, skoro polovina, nije u mogućnosti da formira stav zbog nedostatka informacija, što ukazuje na nedostatak dostupnih informacija ili nerazumijevanje šireg konteksta tih događaja. To stavlja dodatni pritisak na obrazovni sistem i medije da pruže temeljnije i objektivnije informacije o ovim temama.</w:t>
      </w:r>
    </w:p>
    <w:p w:rsidR="00E15318" w:rsidRDefault="00000000">
      <w:pPr>
        <w:jc w:val="both"/>
        <w:rPr>
          <w:rFonts w:ascii="Arial" w:hAnsi="Arial" w:cs="Arial"/>
          <w:sz w:val="24"/>
          <w:szCs w:val="24"/>
          <w:lang w:val="sr-Latn-ME"/>
        </w:rPr>
      </w:pPr>
      <w:r>
        <w:rPr>
          <w:rFonts w:ascii="Arial" w:hAnsi="Arial" w:cs="Arial"/>
          <w:sz w:val="24"/>
          <w:szCs w:val="24"/>
          <w:lang w:val="sr-Latn-ME"/>
        </w:rPr>
        <w:t>Preko tri četvrtine ispitanika smatra da je važno uključiti i teme o ratnim zločinima i drugim teškim kršenjima ljudskih prava u obrazovni sistem. Skoro polovina građana izražava potrebu za obilježavanjem mjesta ratnih zločina kao sredstvo učenja iz prošlosti i izbjegavanja ponavljanja istih grešaka, dok se istovremeno pojavljuje i znatan dio populacije koji je protiv ili neutralan prema takvim inicijativama, što može ukazivati na kompleksnost društvenog odnosa prema istorijskim traumama.</w:t>
      </w:r>
    </w:p>
    <w:p w:rsidR="00E15318" w:rsidRDefault="00E15318">
      <w:pPr>
        <w:jc w:val="both"/>
        <w:rPr>
          <w:rFonts w:ascii="Arial" w:hAnsi="Arial" w:cs="Arial"/>
          <w:b/>
          <w:bCs/>
          <w:lang w:val="sr-Latn-ME"/>
        </w:rPr>
      </w:pPr>
    </w:p>
    <w:sectPr w:rsidR="00E15318">
      <w:headerReference w:type="default" r:id="rId23"/>
      <w:footerReference w:type="default" r:id="rId24"/>
      <w:headerReference w:type="first" r:id="rId25"/>
      <w:pgSz w:w="11906" w:h="16838"/>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2BE1" w:rsidRDefault="008D2BE1">
      <w:pPr>
        <w:spacing w:line="240" w:lineRule="auto"/>
      </w:pPr>
      <w:r>
        <w:separator/>
      </w:r>
    </w:p>
  </w:endnote>
  <w:endnote w:type="continuationSeparator" w:id="0">
    <w:p w:rsidR="008D2BE1" w:rsidRDefault="008D2BE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4002EFF" w:usb1="C200247B" w:usb2="00000009" w:usb3="00000000" w:csb0="000001FF" w:csb1="00000000"/>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214411"/>
      <w:docPartObj>
        <w:docPartGallery w:val="AutoText"/>
      </w:docPartObj>
    </w:sdtPr>
    <w:sdtContent>
      <w:p w:rsidR="00E15318" w:rsidRDefault="00000000">
        <w:pPr>
          <w:pStyle w:val="Footer"/>
          <w:jc w:val="right"/>
        </w:pPr>
        <w:r>
          <w:fldChar w:fldCharType="begin"/>
        </w:r>
        <w:r>
          <w:instrText xml:space="preserve"> PAGE   \* MERGEFORMAT </w:instrText>
        </w:r>
        <w:r>
          <w:fldChar w:fldCharType="separate"/>
        </w:r>
        <w:r>
          <w:t>2</w:t>
        </w:r>
        <w:r>
          <w:fldChar w:fldCharType="end"/>
        </w:r>
      </w:p>
    </w:sdtContent>
  </w:sdt>
  <w:p w:rsidR="00E15318" w:rsidRDefault="00E15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2BE1" w:rsidRDefault="008D2BE1">
      <w:pPr>
        <w:spacing w:after="0"/>
      </w:pPr>
      <w:r>
        <w:separator/>
      </w:r>
    </w:p>
  </w:footnote>
  <w:footnote w:type="continuationSeparator" w:id="0">
    <w:p w:rsidR="008D2BE1" w:rsidRDefault="008D2BE1">
      <w:pPr>
        <w:spacing w:after="0"/>
      </w:pPr>
      <w:r>
        <w:continuationSeparator/>
      </w:r>
    </w:p>
  </w:footnote>
  <w:footnote w:id="1">
    <w:p w:rsidR="00E15318" w:rsidRDefault="00000000">
      <w:pPr>
        <w:pStyle w:val="FootnoteText"/>
        <w:jc w:val="both"/>
        <w:rPr>
          <w:rFonts w:ascii="Arial" w:hAnsi="Arial" w:cs="Arial"/>
        </w:rPr>
      </w:pPr>
      <w:r>
        <w:rPr>
          <w:rStyle w:val="FootnoteReference"/>
          <w:rFonts w:ascii="Arial" w:hAnsi="Arial" w:cs="Arial"/>
        </w:rPr>
        <w:footnoteRef/>
      </w:r>
      <w:r>
        <w:rPr>
          <w:rFonts w:ascii="Arial" w:hAnsi="Arial" w:cs="Arial"/>
        </w:rPr>
        <w:t xml:space="preserve"> Izbor ispitanika za anketu po principu najbližeg rođendana koristi se kako bi se osigurala slučajnost u izboru ispitanika u okviru domaćinstva, čime se smanjuje pristrasnost. Po ovom principu, u anketi učestvuje osoba čiji je rođendan najbliži danu anketiranja, bez obzira na to je li rođendan već prošao ili tek dolazi.</w:t>
      </w:r>
    </w:p>
    <w:p w:rsidR="00E15318" w:rsidRDefault="00E15318">
      <w:pPr>
        <w:pStyle w:val="FootnoteText"/>
        <w:jc w:val="both"/>
        <w:rPr>
          <w:rFonts w:ascii="Arial" w:hAnsi="Arial" w:cs="Arial"/>
          <w:lang w:val="sr-Latn-RS"/>
        </w:rPr>
      </w:pPr>
    </w:p>
  </w:footnote>
  <w:footnote w:id="2">
    <w:p w:rsidR="00E15318" w:rsidRDefault="00000000">
      <w:pPr>
        <w:pStyle w:val="FootnoteText"/>
        <w:jc w:val="both"/>
        <w:rPr>
          <w:rFonts w:ascii="Arial" w:hAnsi="Arial" w:cs="Arial"/>
          <w:sz w:val="18"/>
          <w:szCs w:val="18"/>
          <w:lang w:val="sr-Latn-ME"/>
        </w:rPr>
      </w:pPr>
      <w:r>
        <w:rPr>
          <w:rStyle w:val="FootnoteReference"/>
          <w:rFonts w:ascii="Arial" w:hAnsi="Arial" w:cs="Arial"/>
        </w:rPr>
        <w:footnoteRef/>
      </w:r>
      <w:r>
        <w:rPr>
          <w:rFonts w:ascii="Arial" w:hAnsi="Arial" w:cs="Arial"/>
        </w:rPr>
        <w:t xml:space="preserve"> </w:t>
      </w:r>
      <w:r>
        <w:rPr>
          <w:rFonts w:ascii="Arial" w:hAnsi="Arial" w:cs="Arial"/>
          <w:lang w:val="sr-Latn-ME"/>
        </w:rPr>
        <w:t xml:space="preserve">Na ovo i nekoliko narednih pitanja odgovarali su samo oni ispitanici koji su na prethodno pitanje odgovorili da </w:t>
      </w:r>
      <w:r>
        <w:rPr>
          <w:rFonts w:ascii="Arial" w:hAnsi="Arial" w:cs="Arial"/>
        </w:rPr>
        <w:t>upoznati sa deportacijom bosansko-hercegovačkih izbjeglica iz Centra bezbjednosti Herceg-Novi u maju 1992. godine.</w:t>
      </w:r>
    </w:p>
  </w:footnote>
  <w:footnote w:id="3">
    <w:p w:rsidR="00E15318" w:rsidRDefault="00000000">
      <w:pPr>
        <w:pStyle w:val="FootnoteText"/>
        <w:jc w:val="both"/>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lang w:val="sr-Latn-ME"/>
        </w:rPr>
        <w:t xml:space="preserve">Napominjemo da postoje nalazi i za druge nacionalnosti, ali nijesu statistički validni, jer se radi o veoma malom broju ovih ispitanika. </w:t>
      </w:r>
      <w:r>
        <w:rPr>
          <w:rFonts w:ascii="Arial" w:hAnsi="Arial" w:cs="Arial"/>
        </w:rPr>
        <w:t>Uzorak od samo 1%  ili 2% neke populacije nije dovoljan za donošenje generalnih zaključaka za cijelu populaciju.</w:t>
      </w:r>
    </w:p>
    <w:p w:rsidR="00E15318" w:rsidRDefault="00E15318">
      <w:pPr>
        <w:pStyle w:val="FootnoteText"/>
        <w:jc w:val="both"/>
        <w:rPr>
          <w:rFonts w:ascii="Arial" w:hAnsi="Arial" w:cs="Arial"/>
          <w:sz w:val="10"/>
          <w:szCs w:val="10"/>
          <w:lang w:val="sr-Latn-RS"/>
        </w:rPr>
      </w:pPr>
    </w:p>
  </w:footnote>
  <w:footnote w:id="4">
    <w:p w:rsidR="00E15318" w:rsidRDefault="00000000">
      <w:pPr>
        <w:pStyle w:val="FootnoteText"/>
        <w:jc w:val="both"/>
        <w:rPr>
          <w:rFonts w:ascii="Arial" w:hAnsi="Arial" w:cs="Arial"/>
          <w:lang w:val="sr-Latn-ME"/>
        </w:rPr>
      </w:pPr>
      <w:r>
        <w:rPr>
          <w:rStyle w:val="FootnoteReference"/>
          <w:rFonts w:ascii="Arial" w:hAnsi="Arial" w:cs="Arial"/>
        </w:rPr>
        <w:footnoteRef/>
      </w:r>
      <w:r>
        <w:rPr>
          <w:rFonts w:ascii="Arial" w:hAnsi="Arial" w:cs="Arial"/>
        </w:rPr>
        <w:t xml:space="preserve"> </w:t>
      </w:r>
      <w:r>
        <w:rPr>
          <w:rFonts w:ascii="Arial" w:hAnsi="Arial" w:cs="Arial"/>
          <w:lang w:val="sr-Latn-ME"/>
        </w:rPr>
        <w:t>Na ovo i naredna pitanja su do kraja upitnika odgovari svi ispitanici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5318" w:rsidRDefault="00000000">
    <w:pPr>
      <w:pStyle w:val="Header"/>
    </w:pPr>
    <w:r>
      <w:rPr>
        <w:noProof/>
      </w:rPr>
      <w:drawing>
        <wp:anchor distT="0" distB="0" distL="114300" distR="114300" simplePos="0" relativeHeight="251660288" behindDoc="0" locked="1" layoutInCell="1" allowOverlap="0">
          <wp:simplePos x="0" y="0"/>
          <wp:positionH relativeFrom="page">
            <wp:posOffset>-16510</wp:posOffset>
          </wp:positionH>
          <wp:positionV relativeFrom="page">
            <wp:posOffset>-322580</wp:posOffset>
          </wp:positionV>
          <wp:extent cx="2847340" cy="1226820"/>
          <wp:effectExtent l="0" t="0" r="0" b="5080"/>
          <wp:wrapNone/>
          <wp:docPr id="1211261529" name="Picture 1211261529"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61529" name="Picture 1211261529" descr="A white background with black dot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62115" b="25858"/>
                  <a:stretch>
                    <a:fillRect/>
                  </a:stretch>
                </pic:blipFill>
                <pic:spPr>
                  <a:xfrm>
                    <a:off x="0" y="0"/>
                    <a:ext cx="2847340" cy="122682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15318" w:rsidRDefault="00000000">
    <w:pPr>
      <w:pStyle w:val="Header"/>
    </w:pPr>
    <w:r>
      <w:rPr>
        <w:noProof/>
      </w:rPr>
      <w:drawing>
        <wp:anchor distT="0" distB="0" distL="114300" distR="114300" simplePos="0" relativeHeight="251659264" behindDoc="0" locked="1" layoutInCell="1" allowOverlap="0">
          <wp:simplePos x="0" y="0"/>
          <wp:positionH relativeFrom="page">
            <wp:posOffset>-41910</wp:posOffset>
          </wp:positionH>
          <wp:positionV relativeFrom="page">
            <wp:posOffset>-306070</wp:posOffset>
          </wp:positionV>
          <wp:extent cx="2847340" cy="1226820"/>
          <wp:effectExtent l="0" t="0" r="0" b="5080"/>
          <wp:wrapNone/>
          <wp:docPr id="1143509407" name="Picture 114350940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09407" name="Picture 1143509407" descr="A white background with black dots&#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r="62115" b="25858"/>
                  <a:stretch>
                    <a:fillRect/>
                  </a:stretch>
                </pic:blipFill>
                <pic:spPr>
                  <a:xfrm>
                    <a:off x="0" y="0"/>
                    <a:ext cx="2847340" cy="122682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E2170"/>
    <w:multiLevelType w:val="multilevel"/>
    <w:tmpl w:val="0A3E217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4ADA6D52"/>
    <w:multiLevelType w:val="singleLevel"/>
    <w:tmpl w:val="4ADA6D52"/>
    <w:lvl w:ilvl="0">
      <w:start w:val="1"/>
      <w:numFmt w:val="decimal"/>
      <w:suff w:val="space"/>
      <w:lvlText w:val="%1."/>
      <w:lvlJc w:val="left"/>
    </w:lvl>
  </w:abstractNum>
  <w:abstractNum w:abstractNumId="2" w15:restartNumberingAfterBreak="0">
    <w:nsid w:val="77DD1851"/>
    <w:multiLevelType w:val="multilevel"/>
    <w:tmpl w:val="77DD185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0003512">
    <w:abstractNumId w:val="1"/>
  </w:num>
  <w:num w:numId="2" w16cid:durableId="222451575">
    <w:abstractNumId w:val="0"/>
  </w:num>
  <w:num w:numId="3" w16cid:durableId="522279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9EB"/>
    <w:rsid w:val="00017BC8"/>
    <w:rsid w:val="00033A44"/>
    <w:rsid w:val="00033E99"/>
    <w:rsid w:val="000534CE"/>
    <w:rsid w:val="00053761"/>
    <w:rsid w:val="000671B5"/>
    <w:rsid w:val="0008130C"/>
    <w:rsid w:val="000825CE"/>
    <w:rsid w:val="00085590"/>
    <w:rsid w:val="00087FBE"/>
    <w:rsid w:val="00094E7D"/>
    <w:rsid w:val="000A3081"/>
    <w:rsid w:val="000A5E44"/>
    <w:rsid w:val="000A6369"/>
    <w:rsid w:val="000B07B5"/>
    <w:rsid w:val="000B28CD"/>
    <w:rsid w:val="000B3FEC"/>
    <w:rsid w:val="000E3E26"/>
    <w:rsid w:val="000E64AD"/>
    <w:rsid w:val="000F052C"/>
    <w:rsid w:val="000F0CFF"/>
    <w:rsid w:val="000F7A92"/>
    <w:rsid w:val="001068E3"/>
    <w:rsid w:val="001076D5"/>
    <w:rsid w:val="001125F2"/>
    <w:rsid w:val="0011552C"/>
    <w:rsid w:val="00115710"/>
    <w:rsid w:val="00116005"/>
    <w:rsid w:val="00145BFE"/>
    <w:rsid w:val="00152DF5"/>
    <w:rsid w:val="001540C3"/>
    <w:rsid w:val="00162615"/>
    <w:rsid w:val="001648CB"/>
    <w:rsid w:val="00193960"/>
    <w:rsid w:val="00196751"/>
    <w:rsid w:val="001A0147"/>
    <w:rsid w:val="001A3228"/>
    <w:rsid w:val="001A568C"/>
    <w:rsid w:val="001C02F7"/>
    <w:rsid w:val="001C300F"/>
    <w:rsid w:val="001C401B"/>
    <w:rsid w:val="001C486C"/>
    <w:rsid w:val="001D0909"/>
    <w:rsid w:val="001D582C"/>
    <w:rsid w:val="001E3784"/>
    <w:rsid w:val="001E6A73"/>
    <w:rsid w:val="001E7F11"/>
    <w:rsid w:val="001F46C1"/>
    <w:rsid w:val="001F4B78"/>
    <w:rsid w:val="00203A9C"/>
    <w:rsid w:val="002075ED"/>
    <w:rsid w:val="00210500"/>
    <w:rsid w:val="002140B0"/>
    <w:rsid w:val="002312D2"/>
    <w:rsid w:val="00240C0B"/>
    <w:rsid w:val="00245E76"/>
    <w:rsid w:val="00246237"/>
    <w:rsid w:val="00247384"/>
    <w:rsid w:val="0024781A"/>
    <w:rsid w:val="0025098D"/>
    <w:rsid w:val="00261AA0"/>
    <w:rsid w:val="00270CFC"/>
    <w:rsid w:val="00271184"/>
    <w:rsid w:val="00271FD8"/>
    <w:rsid w:val="00275FF3"/>
    <w:rsid w:val="00276D71"/>
    <w:rsid w:val="00283217"/>
    <w:rsid w:val="0028777B"/>
    <w:rsid w:val="002933CC"/>
    <w:rsid w:val="00293AD7"/>
    <w:rsid w:val="002959C9"/>
    <w:rsid w:val="00297123"/>
    <w:rsid w:val="00297264"/>
    <w:rsid w:val="002B5656"/>
    <w:rsid w:val="002B7AE8"/>
    <w:rsid w:val="002C1339"/>
    <w:rsid w:val="002C2ECB"/>
    <w:rsid w:val="002C42E5"/>
    <w:rsid w:val="002D03EA"/>
    <w:rsid w:val="002D5C73"/>
    <w:rsid w:val="002D63A6"/>
    <w:rsid w:val="002D799F"/>
    <w:rsid w:val="002E2028"/>
    <w:rsid w:val="002E3A6C"/>
    <w:rsid w:val="002E468C"/>
    <w:rsid w:val="002E4E2C"/>
    <w:rsid w:val="002F5EF0"/>
    <w:rsid w:val="003042DD"/>
    <w:rsid w:val="00311792"/>
    <w:rsid w:val="00322CF3"/>
    <w:rsid w:val="0032421A"/>
    <w:rsid w:val="0032531D"/>
    <w:rsid w:val="00327E9C"/>
    <w:rsid w:val="003325EF"/>
    <w:rsid w:val="003375CE"/>
    <w:rsid w:val="00345C2D"/>
    <w:rsid w:val="00351013"/>
    <w:rsid w:val="00362E1F"/>
    <w:rsid w:val="0036528C"/>
    <w:rsid w:val="0037524E"/>
    <w:rsid w:val="00380B61"/>
    <w:rsid w:val="003825CA"/>
    <w:rsid w:val="003836EC"/>
    <w:rsid w:val="003918F5"/>
    <w:rsid w:val="003A2E03"/>
    <w:rsid w:val="003A2EA5"/>
    <w:rsid w:val="003A5ED5"/>
    <w:rsid w:val="003B1CA9"/>
    <w:rsid w:val="003C5C06"/>
    <w:rsid w:val="003C6F31"/>
    <w:rsid w:val="003E51A1"/>
    <w:rsid w:val="003E6FA5"/>
    <w:rsid w:val="003F3076"/>
    <w:rsid w:val="00401815"/>
    <w:rsid w:val="0040379A"/>
    <w:rsid w:val="00403959"/>
    <w:rsid w:val="004063CF"/>
    <w:rsid w:val="00414015"/>
    <w:rsid w:val="00415024"/>
    <w:rsid w:val="004174C3"/>
    <w:rsid w:val="004318EC"/>
    <w:rsid w:val="00432782"/>
    <w:rsid w:val="0043346B"/>
    <w:rsid w:val="0043560D"/>
    <w:rsid w:val="00435945"/>
    <w:rsid w:val="004400B3"/>
    <w:rsid w:val="00444FBA"/>
    <w:rsid w:val="004649EC"/>
    <w:rsid w:val="00465865"/>
    <w:rsid w:val="00467429"/>
    <w:rsid w:val="0047407F"/>
    <w:rsid w:val="00477ADE"/>
    <w:rsid w:val="00477B6A"/>
    <w:rsid w:val="00483BF5"/>
    <w:rsid w:val="00490382"/>
    <w:rsid w:val="00493123"/>
    <w:rsid w:val="004932DE"/>
    <w:rsid w:val="00493DD1"/>
    <w:rsid w:val="004A6B6A"/>
    <w:rsid w:val="004B45EF"/>
    <w:rsid w:val="004C4B30"/>
    <w:rsid w:val="004C508B"/>
    <w:rsid w:val="004D7858"/>
    <w:rsid w:val="004E2D1F"/>
    <w:rsid w:val="004E76B6"/>
    <w:rsid w:val="004F07A1"/>
    <w:rsid w:val="005066A1"/>
    <w:rsid w:val="00506E0D"/>
    <w:rsid w:val="00507DA4"/>
    <w:rsid w:val="0051364E"/>
    <w:rsid w:val="00513B84"/>
    <w:rsid w:val="005215AE"/>
    <w:rsid w:val="005274B9"/>
    <w:rsid w:val="005438C3"/>
    <w:rsid w:val="00544113"/>
    <w:rsid w:val="005476B4"/>
    <w:rsid w:val="00553084"/>
    <w:rsid w:val="0056073F"/>
    <w:rsid w:val="00584F65"/>
    <w:rsid w:val="0058571C"/>
    <w:rsid w:val="00596C34"/>
    <w:rsid w:val="00596EA5"/>
    <w:rsid w:val="005A56BB"/>
    <w:rsid w:val="005B045B"/>
    <w:rsid w:val="005B0DB4"/>
    <w:rsid w:val="005B76FF"/>
    <w:rsid w:val="005C61FC"/>
    <w:rsid w:val="005D1753"/>
    <w:rsid w:val="005D26B1"/>
    <w:rsid w:val="005D40D7"/>
    <w:rsid w:val="005D5ACE"/>
    <w:rsid w:val="005F118C"/>
    <w:rsid w:val="00601A83"/>
    <w:rsid w:val="006103FD"/>
    <w:rsid w:val="0061237F"/>
    <w:rsid w:val="0062645E"/>
    <w:rsid w:val="00626C80"/>
    <w:rsid w:val="00635FC3"/>
    <w:rsid w:val="00637E8F"/>
    <w:rsid w:val="00643119"/>
    <w:rsid w:val="00651F79"/>
    <w:rsid w:val="00665442"/>
    <w:rsid w:val="0067693C"/>
    <w:rsid w:val="006814FC"/>
    <w:rsid w:val="00685420"/>
    <w:rsid w:val="0069402C"/>
    <w:rsid w:val="00696D71"/>
    <w:rsid w:val="006A45A5"/>
    <w:rsid w:val="006B3454"/>
    <w:rsid w:val="006B7108"/>
    <w:rsid w:val="006C04CC"/>
    <w:rsid w:val="006C6A0F"/>
    <w:rsid w:val="006C7ABF"/>
    <w:rsid w:val="006D43F9"/>
    <w:rsid w:val="006D5498"/>
    <w:rsid w:val="006D69B1"/>
    <w:rsid w:val="006F4C10"/>
    <w:rsid w:val="00716860"/>
    <w:rsid w:val="00723DF1"/>
    <w:rsid w:val="007252CD"/>
    <w:rsid w:val="007520E8"/>
    <w:rsid w:val="00753619"/>
    <w:rsid w:val="007632C0"/>
    <w:rsid w:val="00784B69"/>
    <w:rsid w:val="00786421"/>
    <w:rsid w:val="007A3F20"/>
    <w:rsid w:val="007B5C95"/>
    <w:rsid w:val="007D555C"/>
    <w:rsid w:val="008040BF"/>
    <w:rsid w:val="0080766A"/>
    <w:rsid w:val="00810B41"/>
    <w:rsid w:val="00813E44"/>
    <w:rsid w:val="00824F80"/>
    <w:rsid w:val="0082733B"/>
    <w:rsid w:val="00835E09"/>
    <w:rsid w:val="00843936"/>
    <w:rsid w:val="008512ED"/>
    <w:rsid w:val="008524C7"/>
    <w:rsid w:val="008538BB"/>
    <w:rsid w:val="0087742D"/>
    <w:rsid w:val="0088014F"/>
    <w:rsid w:val="008925F4"/>
    <w:rsid w:val="00896759"/>
    <w:rsid w:val="008A0084"/>
    <w:rsid w:val="008A15F8"/>
    <w:rsid w:val="008A21D1"/>
    <w:rsid w:val="008B3E49"/>
    <w:rsid w:val="008C1763"/>
    <w:rsid w:val="008D20CB"/>
    <w:rsid w:val="008D2BE1"/>
    <w:rsid w:val="008D4335"/>
    <w:rsid w:val="008D75FE"/>
    <w:rsid w:val="008F65F2"/>
    <w:rsid w:val="008F6C75"/>
    <w:rsid w:val="00900461"/>
    <w:rsid w:val="0091411F"/>
    <w:rsid w:val="00921ADB"/>
    <w:rsid w:val="009232B6"/>
    <w:rsid w:val="009260C5"/>
    <w:rsid w:val="00926EF8"/>
    <w:rsid w:val="009318B0"/>
    <w:rsid w:val="0093341B"/>
    <w:rsid w:val="00937406"/>
    <w:rsid w:val="00953375"/>
    <w:rsid w:val="00955CFF"/>
    <w:rsid w:val="0097005B"/>
    <w:rsid w:val="009829D0"/>
    <w:rsid w:val="009A20B2"/>
    <w:rsid w:val="009B0EB7"/>
    <w:rsid w:val="009C45CD"/>
    <w:rsid w:val="009D2940"/>
    <w:rsid w:val="009D6342"/>
    <w:rsid w:val="009D64D8"/>
    <w:rsid w:val="009E51EF"/>
    <w:rsid w:val="009F6069"/>
    <w:rsid w:val="00A10ECE"/>
    <w:rsid w:val="00A12355"/>
    <w:rsid w:val="00A26E5D"/>
    <w:rsid w:val="00A31156"/>
    <w:rsid w:val="00A349D3"/>
    <w:rsid w:val="00A417C2"/>
    <w:rsid w:val="00A4561A"/>
    <w:rsid w:val="00A638AD"/>
    <w:rsid w:val="00A63E87"/>
    <w:rsid w:val="00A65E3C"/>
    <w:rsid w:val="00A67696"/>
    <w:rsid w:val="00A72D96"/>
    <w:rsid w:val="00A75D53"/>
    <w:rsid w:val="00A813AA"/>
    <w:rsid w:val="00A82AD7"/>
    <w:rsid w:val="00A8412D"/>
    <w:rsid w:val="00A90E0E"/>
    <w:rsid w:val="00A94260"/>
    <w:rsid w:val="00A95045"/>
    <w:rsid w:val="00A97FCF"/>
    <w:rsid w:val="00AC1A5C"/>
    <w:rsid w:val="00AE2FBA"/>
    <w:rsid w:val="00AE3988"/>
    <w:rsid w:val="00AE786F"/>
    <w:rsid w:val="00AF0BBA"/>
    <w:rsid w:val="00AF5306"/>
    <w:rsid w:val="00AF5F80"/>
    <w:rsid w:val="00AF69EB"/>
    <w:rsid w:val="00B031D9"/>
    <w:rsid w:val="00B25F2A"/>
    <w:rsid w:val="00B30559"/>
    <w:rsid w:val="00B34695"/>
    <w:rsid w:val="00B347F2"/>
    <w:rsid w:val="00B44D4A"/>
    <w:rsid w:val="00B473F8"/>
    <w:rsid w:val="00B62C1D"/>
    <w:rsid w:val="00B81EEA"/>
    <w:rsid w:val="00B8293D"/>
    <w:rsid w:val="00B96FE3"/>
    <w:rsid w:val="00BA39BC"/>
    <w:rsid w:val="00BB1CBD"/>
    <w:rsid w:val="00BC0C91"/>
    <w:rsid w:val="00BC10B9"/>
    <w:rsid w:val="00BF18C4"/>
    <w:rsid w:val="00BF1C25"/>
    <w:rsid w:val="00C071DE"/>
    <w:rsid w:val="00C119DA"/>
    <w:rsid w:val="00C1214A"/>
    <w:rsid w:val="00C17231"/>
    <w:rsid w:val="00C20B66"/>
    <w:rsid w:val="00C46C44"/>
    <w:rsid w:val="00C4714B"/>
    <w:rsid w:val="00C509DB"/>
    <w:rsid w:val="00C54E9E"/>
    <w:rsid w:val="00C5799D"/>
    <w:rsid w:val="00C70D7B"/>
    <w:rsid w:val="00C70FFB"/>
    <w:rsid w:val="00C775FB"/>
    <w:rsid w:val="00C778ED"/>
    <w:rsid w:val="00C90D5C"/>
    <w:rsid w:val="00C915CB"/>
    <w:rsid w:val="00C97CED"/>
    <w:rsid w:val="00CE19D0"/>
    <w:rsid w:val="00D36001"/>
    <w:rsid w:val="00D4172F"/>
    <w:rsid w:val="00D53107"/>
    <w:rsid w:val="00D70520"/>
    <w:rsid w:val="00D73FF6"/>
    <w:rsid w:val="00D75C25"/>
    <w:rsid w:val="00D91EB8"/>
    <w:rsid w:val="00DA0EBB"/>
    <w:rsid w:val="00DA2C0E"/>
    <w:rsid w:val="00DF4214"/>
    <w:rsid w:val="00E15318"/>
    <w:rsid w:val="00E27F12"/>
    <w:rsid w:val="00E46335"/>
    <w:rsid w:val="00E467D0"/>
    <w:rsid w:val="00E63197"/>
    <w:rsid w:val="00E709FA"/>
    <w:rsid w:val="00E725CE"/>
    <w:rsid w:val="00E77AB9"/>
    <w:rsid w:val="00E84B62"/>
    <w:rsid w:val="00E90D6F"/>
    <w:rsid w:val="00EA1D00"/>
    <w:rsid w:val="00EA507D"/>
    <w:rsid w:val="00EB263E"/>
    <w:rsid w:val="00EC320C"/>
    <w:rsid w:val="00EC4D94"/>
    <w:rsid w:val="00EC584D"/>
    <w:rsid w:val="00EC5928"/>
    <w:rsid w:val="00EC6156"/>
    <w:rsid w:val="00EC681F"/>
    <w:rsid w:val="00ED3ADC"/>
    <w:rsid w:val="00ED5C38"/>
    <w:rsid w:val="00ED6C38"/>
    <w:rsid w:val="00EE1497"/>
    <w:rsid w:val="00EF200A"/>
    <w:rsid w:val="00F11FEB"/>
    <w:rsid w:val="00F2127A"/>
    <w:rsid w:val="00F30776"/>
    <w:rsid w:val="00F3246F"/>
    <w:rsid w:val="00F41F31"/>
    <w:rsid w:val="00F45F80"/>
    <w:rsid w:val="00F4777F"/>
    <w:rsid w:val="00F526D8"/>
    <w:rsid w:val="00F5316E"/>
    <w:rsid w:val="00F57C49"/>
    <w:rsid w:val="00F60459"/>
    <w:rsid w:val="00F6286A"/>
    <w:rsid w:val="00F63BCB"/>
    <w:rsid w:val="00F63E85"/>
    <w:rsid w:val="00F65A5F"/>
    <w:rsid w:val="00F665DF"/>
    <w:rsid w:val="00F677B3"/>
    <w:rsid w:val="00F67CA7"/>
    <w:rsid w:val="00F725D6"/>
    <w:rsid w:val="00F76571"/>
    <w:rsid w:val="00F81053"/>
    <w:rsid w:val="00F9123E"/>
    <w:rsid w:val="00F96594"/>
    <w:rsid w:val="00FA5352"/>
    <w:rsid w:val="00FB05BF"/>
    <w:rsid w:val="00FC4F1F"/>
    <w:rsid w:val="00FE6E38"/>
    <w:rsid w:val="00FE71EE"/>
    <w:rsid w:val="00FF3074"/>
    <w:rsid w:val="1506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A6660"/>
  <w15:docId w15:val="{B46FBA21-090D-4A9C-BD9E-8825D55A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link w:val="Heading1Char"/>
    <w:uiPriority w:val="9"/>
    <w:qFormat/>
    <w:pPr>
      <w:widowControl w:val="0"/>
      <w:spacing w:before="44" w:after="0" w:line="240" w:lineRule="auto"/>
      <w:outlineLvl w:val="0"/>
    </w:pPr>
    <w:rPr>
      <w:rFonts w:ascii="Barlow" w:eastAsia="Barlow" w:hAnsi="Barlow"/>
      <w:b/>
      <w:bCs/>
      <w:kern w:val="0"/>
      <w:sz w:val="20"/>
      <w:szCs w:val="20"/>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NoSpacing">
    <w:name w:val="No Spacing"/>
    <w:uiPriority w:val="1"/>
    <w:qFormat/>
    <w:rPr>
      <w:rFonts w:ascii="Times New Roman" w:eastAsia="Times New Roman" w:hAnsi="Times New Roman" w:cs="Times New Roman"/>
      <w:sz w:val="24"/>
      <w:szCs w:val="24"/>
      <w:lang w:val="bs" w:eastAsia="en-GB"/>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locked/>
  </w:style>
  <w:style w:type="character" w:customStyle="1" w:styleId="jlqj4b">
    <w:name w:val="jlqj4b"/>
    <w:uiPriority w:val="99"/>
    <w:rPr>
      <w:rFonts w:cs="Times New Roman"/>
    </w:rPr>
  </w:style>
  <w:style w:type="table" w:customStyle="1" w:styleId="GridTable4-Accent51">
    <w:name w:val="Grid Table 4 - Accent 51"/>
    <w:basedOn w:val="TableNormal"/>
    <w:uiPriority w:val="49"/>
    <w:rPr>
      <w:lang w:val="sl-SI"/>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1Char">
    <w:name w:val="Heading 1 Char"/>
    <w:basedOn w:val="DefaultParagraphFont"/>
    <w:link w:val="Heading1"/>
    <w:uiPriority w:val="9"/>
    <w:rPr>
      <w:rFonts w:ascii="Barlow" w:eastAsia="Barlow" w:hAnsi="Barlow"/>
      <w:b/>
      <w:bCs/>
      <w:kern w:val="0"/>
      <w:sz w:val="20"/>
      <w:szCs w:val="20"/>
      <w14:ligatures w14:val="none"/>
    </w:rPr>
  </w:style>
  <w:style w:type="character" w:customStyle="1" w:styleId="FootnoteTextChar">
    <w:name w:val="Footnote Text Char"/>
    <w:basedOn w:val="DefaultParagraphFont"/>
    <w:link w:val="FootnoteText"/>
    <w:uiPriority w:val="99"/>
    <w:semiHidden/>
    <w:rPr>
      <w:sz w:val="20"/>
      <w:szCs w:val="20"/>
    </w:rPr>
  </w:style>
  <w:style w:type="paragraph" w:customStyle="1" w:styleId="Default">
    <w:name w:val="Default"/>
    <w:pPr>
      <w:autoSpaceDE w:val="0"/>
      <w:autoSpaceDN w:val="0"/>
      <w:adjustRightInd w:val="0"/>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table" w:customStyle="1" w:styleId="GridTable6Colorful-Accent51">
    <w:name w:val="Grid Table 6 Colorful - Accent 51"/>
    <w:basedOn w:val="TableNormal"/>
    <w:uiPriority w:val="51"/>
    <w:rPr>
      <w:color w:val="2E74B5" w:themeColor="accent5" w:themeShade="BF"/>
      <w:lang w:val="sr-Latn-ME"/>
    </w:rPr>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Revision1">
    <w:name w:val="Revision1"/>
    <w:hidden/>
    <w:uiPriority w:val="99"/>
    <w:semiHidden/>
    <w:rPr>
      <w:kern w:val="2"/>
      <w:sz w:val="22"/>
      <w:szCs w:val="22"/>
      <w14:ligatures w14:val="standardContextual"/>
    </w:rPr>
  </w:style>
  <w:style w:type="character" w:customStyle="1" w:styleId="CommentTextChar">
    <w:name w:val="Comment Text Char"/>
    <w:basedOn w:val="DefaultParagraphFont"/>
    <w:link w:val="CommentText"/>
    <w:uiPriority w:val="99"/>
    <w:rPr>
      <w:sz w:val="20"/>
      <w:szCs w:val="20"/>
    </w:rPr>
  </w:style>
  <w:style w:type="character" w:customStyle="1" w:styleId="CommentSubjectChar">
    <w:name w:val="Comment Subject Char"/>
    <w:basedOn w:val="CommentTextChar"/>
    <w:link w:val="CommentSubject"/>
    <w:uiPriority w:val="99"/>
    <w:semiHidden/>
    <w:rPr>
      <w:b/>
      <w:bCs/>
      <w:sz w:val="20"/>
      <w:szCs w:val="20"/>
    </w:rPr>
  </w:style>
  <w:style w:type="paragraph" w:customStyle="1" w:styleId="WPSOffice1">
    <w:name w:val="WPSOffice手动目录 1"/>
    <w:qFormat/>
    <w:rPr>
      <w:lang w:val="en-GB" w:eastAsia="en-GB"/>
    </w:rPr>
  </w:style>
  <w:style w:type="paragraph" w:customStyle="1" w:styleId="WPSOffice2">
    <w:name w:val="WPSOffice手动目录 2"/>
    <w:qFormat/>
    <w:pPr>
      <w:ind w:leftChars="200" w:left="200"/>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header" Target="header1.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vook8\Desktop\RASENKOV%20PC\2024\HRA-HERCEG%20NOVI\REZULTATI.xlsx" TargetMode="Externa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oleObject" Target="file:///C:\Users\vook8\Desktop\RASENKOV%20PC\2024\HRA-HERCEG%20NOVI\REZULTATI.xlsx" TargetMode="External"/></Relationships>
</file>

<file path=word/charts/_rels/chart11.xml.rels><?xml version="1.0" encoding="UTF-8" standalone="yes"?>
<Relationships xmlns="http://schemas.openxmlformats.org/package/2006/relationships"><Relationship Id="rId3" Type="http://schemas.openxmlformats.org/officeDocument/2006/relationships/oleObject" Target="file:///C:\Users\vook8\Desktop\RASENKOV%20PC\2024\HRA-HERCEG%20NOVI\REZULTATI.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oleObject" Target="file:///C:\Users\vook8\Desktop\RASENKOV%20PC\2024\HRA-HERCEG%20NOVI\REZULTATI.xlsx" TargetMode="Externa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vook8\Desktop\RASENKOV%20PC\2024\HRA-HERCEG%20NOVI\REZULTATI.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file:///C:\Users\vook8\Desktop\RASENKOV%20PC\2024\HRA-HERCEG%20NOVI\REZULTATI.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oleObject" Target="file:///C:\Users\vook8\Desktop\RASENKOV%20PC\2024\HRA-HERCEG%20NOVI\REZULTATI.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vook8\Desktop\RASENKOV%20PC\2024\HRA-HERCEG%20NOVI\REZULTAT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ook8\Desktop\RASENKOV%20PC\2024\HRA-HERCEG%20NOVI\REZULTATI.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vook8\Desktop\RASENKOV%20PC\2024\HRA-HERCEG%20NOVI\REZULTATI.xlsx"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vook8\Desktop\RASENKOV%20PC\2024\HRA-HERCEG%20NOVI\REZULTATI.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vook8\Desktop\RASENKOV%20PC\2024\HRA-HERCEG%20NOVI\REZULTATI.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Users\vook8\Desktop\RASENKOV%20PC\2024\HRA-HERCEG%20NOVI\REZULTATI.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C:\Users\vook8\Desktop\RASENKOV%20PC\2024\HRA-HERCEG%20NOVI\REZULTATI.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C:\Users\vook8\Desktop\RASENKOV%20PC\2024\HRA-HERCEG%20NOVI\REZULTAT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2250745824514799E-2"/>
          <c:y val="3.1783857754472997E-2"/>
          <c:w val="0.96234489168158999"/>
          <c:h val="0.491318376900994"/>
        </c:manualLayout>
      </c:layout>
      <c:barChart>
        <c:barDir val="col"/>
        <c:grouping val="stacked"/>
        <c:varyColors val="0"/>
        <c:ser>
          <c:idx val="0"/>
          <c:order val="0"/>
          <c:spPr>
            <a:solidFill>
              <a:schemeClr val="accent5">
                <a:lumMod val="60000"/>
                <a:lumOff val="40000"/>
              </a:schemeClr>
            </a:solidFill>
            <a:ln>
              <a:noFill/>
            </a:ln>
            <a:effectLst/>
          </c:spPr>
          <c:invertIfNegative val="0"/>
          <c:dPt>
            <c:idx val="0"/>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1-D4A0-4E8B-85DE-EBEDC37DC0E5}"/>
              </c:ext>
            </c:extLst>
          </c:dPt>
          <c:dPt>
            <c:idx val="1"/>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D4A0-4E8B-85DE-EBEDC37DC0E5}"/>
              </c:ext>
            </c:extLst>
          </c:dPt>
          <c:dPt>
            <c:idx val="2"/>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5-D4A0-4E8B-85DE-EBEDC37DC0E5}"/>
              </c:ext>
            </c:extLst>
          </c:dPt>
          <c:dPt>
            <c:idx val="3"/>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7-D4A0-4E8B-85DE-EBEDC37DC0E5}"/>
              </c:ext>
            </c:extLst>
          </c:dPt>
          <c:dPt>
            <c:idx val="4"/>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9-D4A0-4E8B-85DE-EBEDC37DC0E5}"/>
              </c:ext>
            </c:extLst>
          </c:dPt>
          <c:dPt>
            <c:idx val="5"/>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B-D4A0-4E8B-85DE-EBEDC37DC0E5}"/>
              </c:ext>
            </c:extLst>
          </c:dPt>
          <c:dPt>
            <c:idx val="6"/>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D-D4A0-4E8B-85DE-EBEDC37DC0E5}"/>
              </c:ext>
            </c:extLst>
          </c:dPt>
          <c:dPt>
            <c:idx val="7"/>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F-D4A0-4E8B-85DE-EBEDC37DC0E5}"/>
              </c:ext>
            </c:extLst>
          </c:dPt>
          <c:dPt>
            <c:idx val="8"/>
            <c:invertIfNegative val="0"/>
            <c:bubble3D val="0"/>
            <c:spPr>
              <a:solidFill>
                <a:srgbClr val="FFC000">
                  <a:alpha val="59000"/>
                </a:srgbClr>
              </a:solidFill>
              <a:ln>
                <a:noFill/>
              </a:ln>
              <a:effectLst/>
            </c:spPr>
            <c:extLst>
              <c:ext xmlns:c16="http://schemas.microsoft.com/office/drawing/2014/chart" uri="{C3380CC4-5D6E-409C-BE32-E72D297353CC}">
                <c16:uniqueId val="{00000011-D4A0-4E8B-85DE-EBEDC37DC0E5}"/>
              </c:ext>
            </c:extLst>
          </c:dPt>
          <c:dPt>
            <c:idx val="9"/>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3-D4A0-4E8B-85DE-EBEDC37DC0E5}"/>
              </c:ext>
            </c:extLst>
          </c:dPt>
          <c:dPt>
            <c:idx val="10"/>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5-D4A0-4E8B-85DE-EBEDC37DC0E5}"/>
              </c:ext>
            </c:extLst>
          </c:dPt>
          <c:dPt>
            <c:idx val="11"/>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7-D4A0-4E8B-85DE-EBEDC37DC0E5}"/>
              </c:ext>
            </c:extLst>
          </c:dPt>
          <c:dPt>
            <c:idx val="12"/>
            <c:invertIfNegative val="0"/>
            <c:bubble3D val="0"/>
            <c:spPr>
              <a:solidFill>
                <a:schemeClr val="accent6">
                  <a:lumMod val="60000"/>
                  <a:lumOff val="40000"/>
                </a:schemeClr>
              </a:solidFill>
              <a:ln>
                <a:noFill/>
              </a:ln>
              <a:effectLst/>
            </c:spPr>
            <c:extLst>
              <c:ext xmlns:c16="http://schemas.microsoft.com/office/drawing/2014/chart" uri="{C3380CC4-5D6E-409C-BE32-E72D297353CC}">
                <c16:uniqueId val="{00000019-D4A0-4E8B-85DE-EBEDC37DC0E5}"/>
              </c:ext>
            </c:extLst>
          </c:dPt>
          <c:dPt>
            <c:idx val="13"/>
            <c:invertIfNegative val="0"/>
            <c:bubble3D val="0"/>
            <c:spPr>
              <a:solidFill>
                <a:srgbClr val="4EA72E">
                  <a:lumMod val="40000"/>
                  <a:lumOff val="60000"/>
                </a:srgbClr>
              </a:solidFill>
              <a:ln>
                <a:noFill/>
              </a:ln>
              <a:effectLst/>
            </c:spPr>
            <c:extLst>
              <c:ext xmlns:c16="http://schemas.microsoft.com/office/drawing/2014/chart" uri="{C3380CC4-5D6E-409C-BE32-E72D297353CC}">
                <c16:uniqueId val="{0000001B-D4A0-4E8B-85DE-EBEDC37DC0E5}"/>
              </c:ext>
            </c:extLst>
          </c:dPt>
          <c:dLbls>
            <c:dLbl>
              <c:idx val="0"/>
              <c:layout>
                <c:manualLayout>
                  <c:x val="2.2730531742959801E-3"/>
                  <c:y val="-0.218577339510913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A0-4E8B-85DE-EBEDC37DC0E5}"/>
                </c:ext>
              </c:extLst>
            </c:dLbl>
            <c:dLbl>
              <c:idx val="1"/>
              <c:layout>
                <c:manualLayout>
                  <c:x val="4.2872106324872098E-3"/>
                  <c:y val="-0.20777783533909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4A0-4E8B-85DE-EBEDC37DC0E5}"/>
                </c:ext>
              </c:extLst>
            </c:dLbl>
            <c:dLbl>
              <c:idx val="2"/>
              <c:layout>
                <c:manualLayout>
                  <c:x val="0"/>
                  <c:y val="-6.46480629921259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4A0-4E8B-85DE-EBEDC37DC0E5}"/>
                </c:ext>
              </c:extLst>
            </c:dLbl>
            <c:dLbl>
              <c:idx val="3"/>
              <c:layout>
                <c:manualLayout>
                  <c:x val="-1.8375996944514101E-17"/>
                  <c:y val="-9.956081889763780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4A0-4E8B-85DE-EBEDC37DC0E5}"/>
                </c:ext>
              </c:extLst>
            </c:dLbl>
            <c:dLbl>
              <c:idx val="4"/>
              <c:layout>
                <c:manualLayout>
                  <c:x val="0"/>
                  <c:y val="-0.118736487726268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4A0-4E8B-85DE-EBEDC37DC0E5}"/>
                </c:ext>
              </c:extLst>
            </c:dLbl>
            <c:dLbl>
              <c:idx val="5"/>
              <c:layout>
                <c:manualLayout>
                  <c:x val="2.0046773700652999E-3"/>
                  <c:y val="-7.338910236220480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4A0-4E8B-85DE-EBEDC37DC0E5}"/>
                </c:ext>
              </c:extLst>
            </c:dLbl>
            <c:dLbl>
              <c:idx val="6"/>
              <c:layout>
                <c:manualLayout>
                  <c:x val="-3.8090840530955303E-17"/>
                  <c:y val="-0.1148367092411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D4A0-4E8B-85DE-EBEDC37DC0E5}"/>
                </c:ext>
              </c:extLst>
            </c:dLbl>
            <c:dLbl>
              <c:idx val="7"/>
              <c:layout>
                <c:manualLayout>
                  <c:x val="0"/>
                  <c:y val="-9.424705511811019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D4A0-4E8B-85DE-EBEDC37DC0E5}"/>
                </c:ext>
              </c:extLst>
            </c:dLbl>
            <c:dLbl>
              <c:idx val="8"/>
              <c:layout>
                <c:manualLayout>
                  <c:x val="1.03885310617079E-2"/>
                  <c:y val="-8.418149858927219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D4A0-4E8B-85DE-EBEDC37DC0E5}"/>
                </c:ext>
              </c:extLst>
            </c:dLbl>
            <c:dLbl>
              <c:idx val="9"/>
              <c:layout>
                <c:manualLayout>
                  <c:x val="0"/>
                  <c:y val="-3.46829606299213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3-D4A0-4E8B-85DE-EBEDC37DC0E5}"/>
                </c:ext>
              </c:extLst>
            </c:dLbl>
            <c:dLbl>
              <c:idx val="10"/>
              <c:layout>
                <c:manualLayout>
                  <c:x val="-6.2757788880683597E-17"/>
                  <c:y val="-6.2165471768801703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5-D4A0-4E8B-85DE-EBEDC37DC0E5}"/>
                </c:ext>
              </c:extLst>
            </c:dLbl>
            <c:dLbl>
              <c:idx val="11"/>
              <c:layout>
                <c:manualLayout>
                  <c:x val="0"/>
                  <c:y val="-0.2640630431567230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7-D4A0-4E8B-85DE-EBEDC37DC0E5}"/>
                </c:ext>
              </c:extLst>
            </c:dLbl>
            <c:dLbl>
              <c:idx val="12"/>
              <c:layout>
                <c:manualLayout>
                  <c:x val="4.2872454448016403E-3"/>
                  <c:y val="-4.758916556750199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9-D4A0-4E8B-85DE-EBEDC37DC0E5}"/>
                </c:ext>
              </c:extLst>
            </c:dLbl>
            <c:dLbl>
              <c:idx val="13"/>
              <c:layout>
                <c:manualLayout>
                  <c:x val="-2.07770621234157E-3"/>
                  <c:y val="-0.11945873787053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B-D4A0-4E8B-85DE-EBEDC37DC0E5}"/>
                </c:ext>
              </c:extLst>
            </c:dLbl>
            <c:dLbl>
              <c:idx val="14"/>
              <c:layout>
                <c:manualLayout>
                  <c:x val="-4.2872454448017096E-3"/>
                  <c:y val="-0.237135776809625"/>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C-D4A0-4E8B-85DE-EBEDC37DC0E5}"/>
                </c:ext>
              </c:extLst>
            </c:dLbl>
            <c:dLbl>
              <c:idx val="15"/>
              <c:layout>
                <c:manualLayout>
                  <c:x val="-1.7115958326549799E-3"/>
                  <c:y val="-0.1739930961456689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D-D4A0-4E8B-85DE-EBEDC37DC0E5}"/>
                </c:ext>
              </c:extLst>
            </c:dLbl>
            <c:dLbl>
              <c:idx val="16"/>
              <c:layout>
                <c:manualLayout>
                  <c:x val="-1.25515577761367E-16"/>
                  <c:y val="-0.22413876381815701"/>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E-D4A0-4E8B-85DE-EBEDC37DC0E5}"/>
                </c:ext>
              </c:extLst>
            </c:dLbl>
            <c:dLbl>
              <c:idx val="17"/>
              <c:layout>
                <c:manualLayout>
                  <c:x val="-1.4700797555611301E-16"/>
                  <c:y val="-1.99763149606299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F-D4A0-4E8B-85DE-EBEDC37DC0E5}"/>
                </c:ext>
              </c:extLst>
            </c:dLbl>
            <c:dLbl>
              <c:idx val="18"/>
              <c:layout>
                <c:manualLayout>
                  <c:x val="0"/>
                  <c:y val="-2.11598110236220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0-D4A0-4E8B-85DE-EBEDC37DC0E5}"/>
                </c:ext>
              </c:extLst>
            </c:dLbl>
            <c:dLbl>
              <c:idx val="19"/>
              <c:layout>
                <c:manualLayout>
                  <c:x val="0"/>
                  <c:y val="-2.181165354330710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1-D4A0-4E8B-85DE-EBEDC37DC0E5}"/>
                </c:ext>
              </c:extLst>
            </c:dLbl>
            <c:dLbl>
              <c:idx val="20"/>
              <c:layout>
                <c:manualLayout>
                  <c:x val="-1.71159583265511E-3"/>
                  <c:y val="-3.4366108497076497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22-D4A0-4E8B-85DE-EBEDC37DC0E5}"/>
                </c:ext>
              </c:extLst>
            </c:dLbl>
            <c:spPr>
              <a:noFill/>
              <a:ln>
                <a:noFill/>
              </a:ln>
              <a:effectLst/>
            </c:spPr>
            <c:txPr>
              <a:bodyPr rot="0" spcFirstLastPara="1" vertOverflow="ellipsis" vert="horz" wrap="square" lIns="38100" tIns="19050" rIns="38100" bIns="19050" anchor="ctr" anchorCtr="1">
                <a:spAutoFit/>
              </a:bodyPr>
              <a:lstStyle/>
              <a:p>
                <a:pPr>
                  <a:defRPr lang="en-US" sz="1200" b="0" i="0" u="none" strike="noStrike" kern="1200" baseline="0">
                    <a:solidFill>
                      <a:schemeClr val="tx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Sheet1!$A$3:$B$23</c:f>
              <c:multiLvlStrCache>
                <c:ptCount val="21"/>
                <c:lvl>
                  <c:pt idx="0">
                    <c:v>Muški</c:v>
                  </c:pt>
                  <c:pt idx="1">
                    <c:v>Ženski</c:v>
                  </c:pt>
                  <c:pt idx="3">
                    <c:v>18-24</c:v>
                  </c:pt>
                  <c:pt idx="4">
                    <c:v>25-34</c:v>
                  </c:pt>
                  <c:pt idx="5">
                    <c:v>35-44</c:v>
                  </c:pt>
                  <c:pt idx="6">
                    <c:v>45-54</c:v>
                  </c:pt>
                  <c:pt idx="7">
                    <c:v>55-64</c:v>
                  </c:pt>
                  <c:pt idx="8">
                    <c:v>65</c:v>
                  </c:pt>
                  <c:pt idx="10">
                    <c:v>Osnovno obrazovanje</c:v>
                  </c:pt>
                  <c:pt idx="11">
                    <c:v>Srednje obrazovanje</c:v>
                  </c:pt>
                  <c:pt idx="12">
                    <c:v>Više obrazovanje</c:v>
                  </c:pt>
                  <c:pt idx="13">
                    <c:v>Visoko obrazovanje</c:v>
                  </c:pt>
                  <c:pt idx="15">
                    <c:v>Crnogorac/Crnogorka</c:v>
                  </c:pt>
                  <c:pt idx="16">
                    <c:v>Srbin/Srpkinja</c:v>
                  </c:pt>
                  <c:pt idx="17">
                    <c:v>Albanac /Albanka</c:v>
                  </c:pt>
                  <c:pt idx="18">
                    <c:v>Musliman/Muslimanka</c:v>
                  </c:pt>
                  <c:pt idx="19">
                    <c:v>Hrvat/Hrvatica</c:v>
                  </c:pt>
                  <c:pt idx="20">
                    <c:v>Ostalo</c:v>
                  </c:pt>
                </c:lvl>
                <c:lvl>
                  <c:pt idx="0">
                    <c:v>Pol</c:v>
                  </c:pt>
                  <c:pt idx="3">
                    <c:v>Starost</c:v>
                  </c:pt>
                  <c:pt idx="10">
                    <c:v>Obrazovanje</c:v>
                  </c:pt>
                  <c:pt idx="15">
                    <c:v>Nacionalnost</c:v>
                  </c:pt>
                </c:lvl>
              </c:multiLvlStrCache>
            </c:multiLvlStrRef>
          </c:cat>
          <c:val>
            <c:numRef>
              <c:f>Sheet1!$C$3:$C$23</c:f>
              <c:numCache>
                <c:formatCode>###0.0</c:formatCode>
                <c:ptCount val="21"/>
                <c:pt idx="0">
                  <c:v>48.6</c:v>
                </c:pt>
                <c:pt idx="1">
                  <c:v>51.4</c:v>
                </c:pt>
                <c:pt idx="3">
                  <c:v>13.4</c:v>
                </c:pt>
                <c:pt idx="4">
                  <c:v>14.6</c:v>
                </c:pt>
                <c:pt idx="5">
                  <c:v>16.8</c:v>
                </c:pt>
                <c:pt idx="6">
                  <c:v>19.399999999999999</c:v>
                </c:pt>
                <c:pt idx="7">
                  <c:v>18.399999999999999</c:v>
                </c:pt>
                <c:pt idx="8">
                  <c:v>17.399999999999999</c:v>
                </c:pt>
                <c:pt idx="10">
                  <c:v>5.2</c:v>
                </c:pt>
                <c:pt idx="11">
                  <c:v>66.400000000000006</c:v>
                </c:pt>
                <c:pt idx="12">
                  <c:v>5.4</c:v>
                </c:pt>
                <c:pt idx="13">
                  <c:v>23</c:v>
                </c:pt>
                <c:pt idx="15">
                  <c:v>38.799999999999997</c:v>
                </c:pt>
                <c:pt idx="16">
                  <c:v>53.2</c:v>
                </c:pt>
                <c:pt idx="17">
                  <c:v>0.6</c:v>
                </c:pt>
                <c:pt idx="18">
                  <c:v>1.2</c:v>
                </c:pt>
                <c:pt idx="19">
                  <c:v>2</c:v>
                </c:pt>
                <c:pt idx="20">
                  <c:v>4.2</c:v>
                </c:pt>
              </c:numCache>
            </c:numRef>
          </c:val>
          <c:extLst>
            <c:ext xmlns:c16="http://schemas.microsoft.com/office/drawing/2014/chart" uri="{C3380CC4-5D6E-409C-BE32-E72D297353CC}">
              <c16:uniqueId val="{00000023-D4A0-4E8B-85DE-EBEDC37DC0E5}"/>
            </c:ext>
          </c:extLst>
        </c:ser>
        <c:dLbls>
          <c:showLegendKey val="0"/>
          <c:showVal val="1"/>
          <c:showCatName val="0"/>
          <c:showSerName val="0"/>
          <c:showPercent val="0"/>
          <c:showBubbleSize val="0"/>
        </c:dLbls>
        <c:gapWidth val="182"/>
        <c:overlap val="100"/>
        <c:axId val="1721086256"/>
        <c:axId val="1721087904"/>
      </c:barChart>
      <c:catAx>
        <c:axId val="1721086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200" b="0" i="0" u="none" strike="noStrike" kern="1200" baseline="0">
                <a:solidFill>
                  <a:schemeClr val="tx1"/>
                </a:solidFill>
                <a:latin typeface="+mn-lt"/>
                <a:ea typeface="+mn-ea"/>
                <a:cs typeface="+mn-cs"/>
              </a:defRPr>
            </a:pPr>
            <a:endParaRPr lang="en-US"/>
          </a:p>
        </c:txPr>
        <c:crossAx val="1721087904"/>
        <c:crosses val="autoZero"/>
        <c:auto val="1"/>
        <c:lblAlgn val="ctr"/>
        <c:lblOffset val="100"/>
        <c:noMultiLvlLbl val="0"/>
      </c:catAx>
      <c:valAx>
        <c:axId val="1721087904"/>
        <c:scaling>
          <c:orientation val="minMax"/>
        </c:scaling>
        <c:delete val="1"/>
        <c:axPos val="l"/>
        <c:numFmt formatCode="###0.0" sourceLinked="1"/>
        <c:majorTickMark val="none"/>
        <c:minorTickMark val="none"/>
        <c:tickLblPos val="nextTo"/>
        <c:crossAx val="1721086256"/>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FFC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Sheet10!$A$3:$A$10</c:f>
              <c:strCache>
                <c:ptCount val="8"/>
                <c:pt idx="0">
                  <c:v>Vojska ili paravojne formacije Republike Srpske</c:v>
                </c:pt>
                <c:pt idx="1">
                  <c:v>Drugo (odgovorna su deportovana lica)</c:v>
                </c:pt>
                <c:pt idx="2">
                  <c:v>Niko nije odgovoran</c:v>
                </c:pt>
                <c:pt idx="3">
                  <c:v>Međunarodna zajednica</c:v>
                </c:pt>
                <c:pt idx="4">
                  <c:v>Republička vlast Crne Gore u to vrijeme</c:v>
                </c:pt>
                <c:pt idx="5">
                  <c:v>Ne mogu da procjenim</c:v>
                </c:pt>
                <c:pt idx="6">
                  <c:v>Odgovornost je jednako podjeljena izmedu vlasti Crne Gore i Republike Srpske u BiH</c:v>
                </c:pt>
                <c:pt idx="7">
                  <c:v>Vlasti na nivou Savezne Republike Jugoslavije (SRJ)</c:v>
                </c:pt>
              </c:strCache>
            </c:strRef>
          </c:cat>
          <c:val>
            <c:numRef>
              <c:f>Sheet10!$B$3:$B$10</c:f>
              <c:numCache>
                <c:formatCode>###0.0</c:formatCode>
                <c:ptCount val="8"/>
                <c:pt idx="0">
                  <c:v>0.4</c:v>
                </c:pt>
                <c:pt idx="1">
                  <c:v>1.2</c:v>
                </c:pt>
                <c:pt idx="2">
                  <c:v>1.4</c:v>
                </c:pt>
                <c:pt idx="3">
                  <c:v>6</c:v>
                </c:pt>
                <c:pt idx="4">
                  <c:v>6.6</c:v>
                </c:pt>
                <c:pt idx="5">
                  <c:v>19.2</c:v>
                </c:pt>
                <c:pt idx="6">
                  <c:v>20.8</c:v>
                </c:pt>
                <c:pt idx="7">
                  <c:v>44.4</c:v>
                </c:pt>
              </c:numCache>
            </c:numRef>
          </c:val>
          <c:extLst>
            <c:ext xmlns:c16="http://schemas.microsoft.com/office/drawing/2014/chart" uri="{C3380CC4-5D6E-409C-BE32-E72D297353CC}">
              <c16:uniqueId val="{00000000-4D4F-4A13-A916-BC68EF8BD536}"/>
            </c:ext>
          </c:extLst>
        </c:ser>
        <c:dLbls>
          <c:showLegendKey val="0"/>
          <c:showVal val="1"/>
          <c:showCatName val="0"/>
          <c:showSerName val="0"/>
          <c:showPercent val="0"/>
          <c:showBubbleSize val="0"/>
        </c:dLbls>
        <c:gapWidth val="182"/>
        <c:axId val="229692864"/>
        <c:axId val="229689984"/>
      </c:barChart>
      <c:catAx>
        <c:axId val="22969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29689984"/>
        <c:crosses val="autoZero"/>
        <c:auto val="1"/>
        <c:lblAlgn val="ctr"/>
        <c:lblOffset val="100"/>
        <c:noMultiLvlLbl val="0"/>
      </c:catAx>
      <c:valAx>
        <c:axId val="229689984"/>
        <c:scaling>
          <c:orientation val="minMax"/>
        </c:scaling>
        <c:delete val="1"/>
        <c:axPos val="b"/>
        <c:numFmt formatCode="###0.0" sourceLinked="1"/>
        <c:majorTickMark val="none"/>
        <c:minorTickMark val="none"/>
        <c:tickLblPos val="nextTo"/>
        <c:crossAx val="2296928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[Book2]Sheet1!$A$1:$A$5</c:f>
              <c:strCache>
                <c:ptCount val="5"/>
                <c:pt idx="0">
                  <c:v>Nemam stav</c:v>
                </c:pt>
                <c:pt idx="1">
                  <c:v>Potpuno sam za to - važno je obilježiti mjesta svih ratnih zločina i istorijskih događaja da bismo učili iz prošlosti i da ne bismo ponavljali iste greške</c:v>
                </c:pt>
                <c:pt idx="2">
                  <c:v>Uglavnom sam za to - obilježavanje ovih mjesta je korisno, ali treba pažljivo odabrati koja će se obilježiti i kako</c:v>
                </c:pt>
                <c:pt idx="3">
                  <c:v>Potpuno sam protiv - treba gledati samo naprijed, ne u prošlost</c:v>
                </c:pt>
                <c:pt idx="4">
                  <c:v>Uglavnom sam protiv - ne želim da se ističe krivica samo pripadnika mog naroda za zločin</c:v>
                </c:pt>
              </c:strCache>
            </c:strRef>
          </c:cat>
          <c:val>
            <c:numRef>
              <c:f>[Book2]Sheet1!$B$1:$B$5</c:f>
              <c:numCache>
                <c:formatCode>General</c:formatCode>
                <c:ptCount val="5"/>
                <c:pt idx="0">
                  <c:v>27.8</c:v>
                </c:pt>
                <c:pt idx="1">
                  <c:v>27.2</c:v>
                </c:pt>
                <c:pt idx="2">
                  <c:v>20.6</c:v>
                </c:pt>
                <c:pt idx="3">
                  <c:v>13</c:v>
                </c:pt>
                <c:pt idx="4">
                  <c:v>11.4</c:v>
                </c:pt>
              </c:numCache>
            </c:numRef>
          </c:val>
          <c:extLst>
            <c:ext xmlns:c16="http://schemas.microsoft.com/office/drawing/2014/chart" uri="{C3380CC4-5D6E-409C-BE32-E72D297353CC}">
              <c16:uniqueId val="{00000000-649D-488D-BD6D-9590A6D04D96}"/>
            </c:ext>
          </c:extLst>
        </c:ser>
        <c:dLbls>
          <c:showLegendKey val="0"/>
          <c:showVal val="1"/>
          <c:showCatName val="0"/>
          <c:showSerName val="0"/>
          <c:showPercent val="0"/>
          <c:showBubbleSize val="0"/>
        </c:dLbls>
        <c:gapWidth val="182"/>
        <c:axId val="109725712"/>
        <c:axId val="109745872"/>
      </c:barChart>
      <c:catAx>
        <c:axId val="1097257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chemeClr val="tx1"/>
                </a:solidFill>
                <a:latin typeface="+mn-lt"/>
                <a:ea typeface="+mn-ea"/>
                <a:cs typeface="+mn-cs"/>
              </a:defRPr>
            </a:pPr>
            <a:endParaRPr lang="en-US"/>
          </a:p>
        </c:txPr>
        <c:crossAx val="109745872"/>
        <c:crosses val="autoZero"/>
        <c:auto val="1"/>
        <c:lblAlgn val="ctr"/>
        <c:lblOffset val="100"/>
        <c:noMultiLvlLbl val="0"/>
      </c:catAx>
      <c:valAx>
        <c:axId val="109745872"/>
        <c:scaling>
          <c:orientation val="minMax"/>
        </c:scaling>
        <c:delete val="1"/>
        <c:axPos val="b"/>
        <c:numFmt formatCode="General" sourceLinked="1"/>
        <c:majorTickMark val="none"/>
        <c:minorTickMark val="none"/>
        <c:tickLblPos val="nextTo"/>
        <c:crossAx val="10972571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7AB1-4A6A-83E7-71509147A63D}"/>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7AB1-4A6A-83E7-71509147A63D}"/>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Sheet12!$B$3:$B$5</c:f>
              <c:strCache>
                <c:ptCount val="3"/>
                <c:pt idx="0">
                  <c:v>Za</c:v>
                </c:pt>
                <c:pt idx="1">
                  <c:v>Protiv</c:v>
                </c:pt>
                <c:pt idx="2">
                  <c:v>Neutralan</c:v>
                </c:pt>
              </c:strCache>
            </c:strRef>
          </c:cat>
          <c:val>
            <c:numRef>
              <c:f>Sheet12!$C$3:$C$5</c:f>
              <c:numCache>
                <c:formatCode>###0.0</c:formatCode>
                <c:ptCount val="3"/>
                <c:pt idx="0">
                  <c:v>33.200000000000003</c:v>
                </c:pt>
                <c:pt idx="1">
                  <c:v>30.2</c:v>
                </c:pt>
                <c:pt idx="2">
                  <c:v>36.6</c:v>
                </c:pt>
              </c:numCache>
            </c:numRef>
          </c:val>
          <c:extLst>
            <c:ext xmlns:c16="http://schemas.microsoft.com/office/drawing/2014/chart" uri="{C3380CC4-5D6E-409C-BE32-E72D297353CC}">
              <c16:uniqueId val="{00000004-7AB1-4A6A-83E7-71509147A63D}"/>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02EA-4D0A-A0D2-6A95D6F0AB44}"/>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02EA-4D0A-A0D2-6A95D6F0AB44}"/>
              </c:ext>
            </c:extLst>
          </c:dPt>
          <c:dPt>
            <c:idx val="3"/>
            <c:invertIfNegative val="0"/>
            <c:bubble3D val="0"/>
            <c:spPr>
              <a:solidFill>
                <a:srgbClr val="0E2841">
                  <a:lumMod val="50000"/>
                  <a:lumOff val="50000"/>
                </a:srgbClr>
              </a:solidFill>
              <a:ln>
                <a:noFill/>
              </a:ln>
              <a:effectLst/>
            </c:spPr>
            <c:extLst>
              <c:ext xmlns:c16="http://schemas.microsoft.com/office/drawing/2014/chart" uri="{C3380CC4-5D6E-409C-BE32-E72D297353CC}">
                <c16:uniqueId val="{00000005-02EA-4D0A-A0D2-6A95D6F0AB44}"/>
              </c:ext>
            </c:extLst>
          </c:dPt>
          <c:dPt>
            <c:idx val="4"/>
            <c:invertIfNegative val="0"/>
            <c:bubble3D val="0"/>
            <c:spPr>
              <a:solidFill>
                <a:srgbClr val="E8E8E8">
                  <a:lumMod val="90000"/>
                </a:srgbClr>
              </a:solidFill>
              <a:ln>
                <a:noFill/>
              </a:ln>
              <a:effectLst/>
            </c:spPr>
            <c:extLst>
              <c:ext xmlns:c16="http://schemas.microsoft.com/office/drawing/2014/chart" uri="{C3380CC4-5D6E-409C-BE32-E72D297353CC}">
                <c16:uniqueId val="{00000007-02EA-4D0A-A0D2-6A95D6F0AB44}"/>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Sheet14!$B$3:$B$7</c:f>
              <c:strCache>
                <c:ptCount val="5"/>
                <c:pt idx="0">
                  <c:v>Veoma važno</c:v>
                </c:pt>
                <c:pt idx="1">
                  <c:v>Pomalo važno</c:v>
                </c:pt>
                <c:pt idx="2">
                  <c:v>Nije važno</c:v>
                </c:pt>
                <c:pt idx="3">
                  <c:v>Štetno je</c:v>
                </c:pt>
                <c:pt idx="4">
                  <c:v>Ne znam</c:v>
                </c:pt>
              </c:strCache>
            </c:strRef>
          </c:cat>
          <c:val>
            <c:numRef>
              <c:f>Sheet14!$C$3:$C$7</c:f>
              <c:numCache>
                <c:formatCode>###0.0</c:formatCode>
                <c:ptCount val="5"/>
                <c:pt idx="0">
                  <c:v>34.799999999999997</c:v>
                </c:pt>
                <c:pt idx="1">
                  <c:v>42.2</c:v>
                </c:pt>
                <c:pt idx="2">
                  <c:v>7.8</c:v>
                </c:pt>
                <c:pt idx="3">
                  <c:v>4.2</c:v>
                </c:pt>
                <c:pt idx="4">
                  <c:v>11</c:v>
                </c:pt>
              </c:numCache>
            </c:numRef>
          </c:val>
          <c:extLst>
            <c:ext xmlns:c16="http://schemas.microsoft.com/office/drawing/2014/chart" uri="{C3380CC4-5D6E-409C-BE32-E72D297353CC}">
              <c16:uniqueId val="{00000008-02EA-4D0A-A0D2-6A95D6F0AB44}"/>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0E2841">
                <a:lumMod val="50000"/>
                <a:lumOff val="50000"/>
              </a:srgb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Sheet15!$U$2:$U$5</c:f>
              <c:strCache>
                <c:ptCount val="4"/>
                <c:pt idx="0">
                  <c:v>Ne znam/ne želim da odgovorim</c:v>
                </c:pt>
                <c:pt idx="1">
                  <c:v>Da, imam lična iskustva</c:v>
                </c:pt>
                <c:pt idx="2">
                  <c:v>Ne, nemam lična iskustva ni priče</c:v>
                </c:pt>
                <c:pt idx="3">
                  <c:v>Da, imam priče prenesene od porodice/prijatelja</c:v>
                </c:pt>
              </c:strCache>
            </c:strRef>
          </c:cat>
          <c:val>
            <c:numRef>
              <c:f>Sheet15!$V$2:$V$5</c:f>
              <c:numCache>
                <c:formatCode>###0.0</c:formatCode>
                <c:ptCount val="4"/>
                <c:pt idx="0">
                  <c:v>9.6</c:v>
                </c:pt>
                <c:pt idx="1">
                  <c:v>9.8000000000000007</c:v>
                </c:pt>
                <c:pt idx="2">
                  <c:v>35.4</c:v>
                </c:pt>
                <c:pt idx="3">
                  <c:v>45.2</c:v>
                </c:pt>
              </c:numCache>
            </c:numRef>
          </c:val>
          <c:extLst>
            <c:ext xmlns:c16="http://schemas.microsoft.com/office/drawing/2014/chart" uri="{C3380CC4-5D6E-409C-BE32-E72D297353CC}">
              <c16:uniqueId val="{00000000-A59D-45AE-87CE-6AC57ACC3D72}"/>
            </c:ext>
          </c:extLst>
        </c:ser>
        <c:dLbls>
          <c:showLegendKey val="0"/>
          <c:showVal val="1"/>
          <c:showCatName val="0"/>
          <c:showSerName val="0"/>
          <c:showPercent val="0"/>
          <c:showBubbleSize val="0"/>
        </c:dLbls>
        <c:gapWidth val="182"/>
        <c:axId val="229692864"/>
        <c:axId val="229689984"/>
      </c:barChart>
      <c:catAx>
        <c:axId val="22969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29689984"/>
        <c:crosses val="autoZero"/>
        <c:auto val="1"/>
        <c:lblAlgn val="ctr"/>
        <c:lblOffset val="100"/>
        <c:noMultiLvlLbl val="0"/>
      </c:catAx>
      <c:valAx>
        <c:axId val="229689984"/>
        <c:scaling>
          <c:orientation val="minMax"/>
        </c:scaling>
        <c:delete val="1"/>
        <c:axPos val="b"/>
        <c:numFmt formatCode="###0.0" sourceLinked="1"/>
        <c:majorTickMark val="none"/>
        <c:minorTickMark val="none"/>
        <c:tickLblPos val="nextTo"/>
        <c:crossAx val="2296928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Sheet16!$U$2:$U$8</c:f>
              <c:strCache>
                <c:ptCount val="7"/>
                <c:pt idx="0">
                  <c:v>Drugo (pričati što manje o prošlosti a više o budućnosti)</c:v>
                </c:pt>
                <c:pt idx="1">
                  <c:v>Ne znam</c:v>
                </c:pt>
                <c:pt idx="2">
                  <c:v>Spomenici i memorijali</c:v>
                </c:pt>
                <c:pt idx="3">
                  <c:v>Javne debate i forumi</c:v>
                </c:pt>
                <c:pt idx="4">
                  <c:v>Mediji i kampanje za podizanje svijesti</c:v>
                </c:pt>
                <c:pt idx="5">
                  <c:v>Edukativni programi i radionice</c:v>
                </c:pt>
                <c:pt idx="6">
                  <c:v>Podrška žrtvama i njihovim porodicama</c:v>
                </c:pt>
              </c:strCache>
            </c:strRef>
          </c:cat>
          <c:val>
            <c:numRef>
              <c:f>Sheet16!$V$2:$V$8</c:f>
              <c:numCache>
                <c:formatCode>General</c:formatCode>
                <c:ptCount val="7"/>
                <c:pt idx="0">
                  <c:v>2.7</c:v>
                </c:pt>
                <c:pt idx="1">
                  <c:v>7.4</c:v>
                </c:pt>
                <c:pt idx="2">
                  <c:v>14.2</c:v>
                </c:pt>
                <c:pt idx="3">
                  <c:v>17</c:v>
                </c:pt>
                <c:pt idx="4">
                  <c:v>17.5</c:v>
                </c:pt>
                <c:pt idx="5">
                  <c:v>19</c:v>
                </c:pt>
                <c:pt idx="6">
                  <c:v>22.2</c:v>
                </c:pt>
              </c:numCache>
            </c:numRef>
          </c:val>
          <c:extLst>
            <c:ext xmlns:c16="http://schemas.microsoft.com/office/drawing/2014/chart" uri="{C3380CC4-5D6E-409C-BE32-E72D297353CC}">
              <c16:uniqueId val="{00000000-0F51-4D88-80E8-0BB47F57F1D1}"/>
            </c:ext>
          </c:extLst>
        </c:ser>
        <c:dLbls>
          <c:showLegendKey val="0"/>
          <c:showVal val="1"/>
          <c:showCatName val="0"/>
          <c:showSerName val="0"/>
          <c:showPercent val="0"/>
          <c:showBubbleSize val="0"/>
        </c:dLbls>
        <c:gapWidth val="182"/>
        <c:axId val="229692864"/>
        <c:axId val="229689984"/>
      </c:barChart>
      <c:catAx>
        <c:axId val="22969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29689984"/>
        <c:crosses val="autoZero"/>
        <c:auto val="1"/>
        <c:lblAlgn val="ctr"/>
        <c:lblOffset val="100"/>
        <c:noMultiLvlLbl val="0"/>
      </c:catAx>
      <c:valAx>
        <c:axId val="229689984"/>
        <c:scaling>
          <c:orientation val="minMax"/>
        </c:scaling>
        <c:delete val="1"/>
        <c:axPos val="b"/>
        <c:numFmt formatCode="General" sourceLinked="1"/>
        <c:majorTickMark val="none"/>
        <c:minorTickMark val="none"/>
        <c:tickLblPos val="nextTo"/>
        <c:crossAx val="2296928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5BE5-4F52-9634-833839763498}"/>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5BE5-4F52-9634-833839763498}"/>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Sheet2!$A$3:$A$5</c:f>
              <c:strCache>
                <c:ptCount val="3"/>
                <c:pt idx="0">
                  <c:v>Da</c:v>
                </c:pt>
                <c:pt idx="1">
                  <c:v>Ne</c:v>
                </c:pt>
                <c:pt idx="2">
                  <c:v>Ne znam</c:v>
                </c:pt>
              </c:strCache>
            </c:strRef>
          </c:cat>
          <c:val>
            <c:numRef>
              <c:f>Sheet2!$B$3:$B$5</c:f>
              <c:numCache>
                <c:formatCode>###0.0</c:formatCode>
                <c:ptCount val="3"/>
                <c:pt idx="0">
                  <c:v>35</c:v>
                </c:pt>
                <c:pt idx="1">
                  <c:v>46.2</c:v>
                </c:pt>
                <c:pt idx="2">
                  <c:v>18.8</c:v>
                </c:pt>
              </c:numCache>
            </c:numRef>
          </c:val>
          <c:extLst>
            <c:ext xmlns:c16="http://schemas.microsoft.com/office/drawing/2014/chart" uri="{C3380CC4-5D6E-409C-BE32-E72D297353CC}">
              <c16:uniqueId val="{00000004-5BE5-4F52-9634-833839763498}"/>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5C6B-4B08-AB03-030DD5CE0041}"/>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5C6B-4B08-AB03-030DD5CE0041}"/>
              </c:ext>
            </c:extLst>
          </c:dPt>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Sheet3!$A$3:$A$4</c:f>
              <c:strCache>
                <c:ptCount val="2"/>
                <c:pt idx="0">
                  <c:v>Da</c:v>
                </c:pt>
                <c:pt idx="1">
                  <c:v>Ne</c:v>
                </c:pt>
              </c:strCache>
            </c:strRef>
          </c:cat>
          <c:val>
            <c:numRef>
              <c:f>Sheet3!$B$3:$B$4</c:f>
              <c:numCache>
                <c:formatCode>###0.0</c:formatCode>
                <c:ptCount val="2"/>
                <c:pt idx="0">
                  <c:v>62.6</c:v>
                </c:pt>
                <c:pt idx="1">
                  <c:v>37.4</c:v>
                </c:pt>
              </c:numCache>
            </c:numRef>
          </c:val>
          <c:extLst>
            <c:ext xmlns:c16="http://schemas.microsoft.com/office/drawing/2014/chart" uri="{C3380CC4-5D6E-409C-BE32-E72D297353CC}">
              <c16:uniqueId val="{00000004-5C6B-4B08-AB03-030DD5CE0041}"/>
            </c:ext>
          </c:extLst>
        </c:ser>
        <c:dLbls>
          <c:showLegendKey val="0"/>
          <c:showVal val="1"/>
          <c:showCatName val="0"/>
          <c:showSerName val="0"/>
          <c:showPercent val="0"/>
          <c:showBubbleSize val="0"/>
          <c:showLeaderLines val="1"/>
        </c:dLbls>
        <c:firstSliceAng val="0"/>
        <c:holeSize val="59"/>
      </c:doughnutChart>
      <c:spPr>
        <a:noFill/>
        <a:ln>
          <a:noFill/>
        </a:ln>
        <a:effectLst/>
      </c:spPr>
    </c:plotArea>
    <c:legend>
      <c:legendPos val="r"/>
      <c:layout>
        <c:manualLayout>
          <c:xMode val="edge"/>
          <c:yMode val="edge"/>
          <c:x val="0.83814801166170205"/>
          <c:y val="0.40750503004100602"/>
          <c:w val="0.14467723522537401"/>
          <c:h val="0.20267294174435099"/>
        </c:manualLayout>
      </c:layout>
      <c:overlay val="0"/>
      <c:spPr>
        <a:noFill/>
        <a:ln>
          <a:noFill/>
        </a:ln>
        <a:effectLst/>
      </c:spPr>
      <c:txPr>
        <a:bodyPr rot="0" spcFirstLastPara="1" vertOverflow="ellipsis" vert="horz" wrap="square" anchor="ctr" anchorCtr="1"/>
        <a:lstStyle/>
        <a:p>
          <a:pPr>
            <a:defRPr lang="en-US" sz="14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lang="en-US"/>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A157-4386-B4C4-86E01294D425}"/>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A157-4386-B4C4-86E01294D425}"/>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Sheet4!$B$3:$B$5</c:f>
              <c:strCache>
                <c:ptCount val="3"/>
                <c:pt idx="0">
                  <c:v>Veoma detaljno</c:v>
                </c:pt>
                <c:pt idx="1">
                  <c:v>Djelimično upoznat/a</c:v>
                </c:pt>
                <c:pt idx="2">
                  <c:v>Nisam upoznat/a</c:v>
                </c:pt>
              </c:strCache>
            </c:strRef>
          </c:cat>
          <c:val>
            <c:numRef>
              <c:f>Sheet4!$C$3:$C$5</c:f>
              <c:numCache>
                <c:formatCode>###0.0</c:formatCode>
                <c:ptCount val="3"/>
                <c:pt idx="0">
                  <c:v>35.4632587859425</c:v>
                </c:pt>
                <c:pt idx="1">
                  <c:v>61.341853035143799</c:v>
                </c:pt>
                <c:pt idx="2">
                  <c:v>3.19488817891374</c:v>
                </c:pt>
              </c:numCache>
            </c:numRef>
          </c:val>
          <c:extLst>
            <c:ext xmlns:c16="http://schemas.microsoft.com/office/drawing/2014/chart" uri="{C3380CC4-5D6E-409C-BE32-E72D297353CC}">
              <c16:uniqueId val="{00000004-A157-4386-B4C4-86E01294D425}"/>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Sheet5!$A$3:$A$9</c:f>
              <c:strCache>
                <c:ptCount val="7"/>
                <c:pt idx="0">
                  <c:v>Knjige i publikacije</c:v>
                </c:pt>
                <c:pt idx="1">
                  <c:v>Ostalo</c:v>
                </c:pt>
                <c:pt idx="2">
                  <c:v>Ne znam/ne sjećam se</c:v>
                </c:pt>
                <c:pt idx="3">
                  <c:v>Lično sjećanje na taj period</c:v>
                </c:pt>
                <c:pt idx="4">
                  <c:v>Porodica i prijatelji</c:v>
                </c:pt>
                <c:pt idx="5">
                  <c:v>Internet</c:v>
                </c:pt>
                <c:pt idx="6">
                  <c:v>Televizija</c:v>
                </c:pt>
              </c:strCache>
            </c:strRef>
          </c:cat>
          <c:val>
            <c:numRef>
              <c:f>Sheet5!$B$3:$B$9</c:f>
              <c:numCache>
                <c:formatCode>###0.0</c:formatCode>
                <c:ptCount val="7"/>
                <c:pt idx="0">
                  <c:v>0.95846645367412098</c:v>
                </c:pt>
                <c:pt idx="1">
                  <c:v>0.95846645367412098</c:v>
                </c:pt>
                <c:pt idx="2">
                  <c:v>1.2779552715655</c:v>
                </c:pt>
                <c:pt idx="3">
                  <c:v>11.182108626198101</c:v>
                </c:pt>
                <c:pt idx="4">
                  <c:v>15.9744408945687</c:v>
                </c:pt>
                <c:pt idx="5">
                  <c:v>18.849840255591101</c:v>
                </c:pt>
                <c:pt idx="6">
                  <c:v>50.7987220447284</c:v>
                </c:pt>
              </c:numCache>
            </c:numRef>
          </c:val>
          <c:extLst>
            <c:ext xmlns:c16="http://schemas.microsoft.com/office/drawing/2014/chart" uri="{C3380CC4-5D6E-409C-BE32-E72D297353CC}">
              <c16:uniqueId val="{00000000-E0AC-4BF9-9026-F2A2FDE06A84}"/>
            </c:ext>
          </c:extLst>
        </c:ser>
        <c:dLbls>
          <c:showLegendKey val="0"/>
          <c:showVal val="1"/>
          <c:showCatName val="0"/>
          <c:showSerName val="0"/>
          <c:showPercent val="0"/>
          <c:showBubbleSize val="0"/>
        </c:dLbls>
        <c:gapWidth val="182"/>
        <c:axId val="229692864"/>
        <c:axId val="229689984"/>
      </c:barChart>
      <c:catAx>
        <c:axId val="2296928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29689984"/>
        <c:crosses val="autoZero"/>
        <c:auto val="1"/>
        <c:lblAlgn val="ctr"/>
        <c:lblOffset val="100"/>
        <c:noMultiLvlLbl val="0"/>
      </c:catAx>
      <c:valAx>
        <c:axId val="229689984"/>
        <c:scaling>
          <c:orientation val="minMax"/>
        </c:scaling>
        <c:delete val="1"/>
        <c:axPos val="b"/>
        <c:numFmt formatCode="###0.0" sourceLinked="1"/>
        <c:majorTickMark val="none"/>
        <c:minorTickMark val="none"/>
        <c:tickLblPos val="nextTo"/>
        <c:crossAx val="229692864"/>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1A0E-44E4-9150-0C8D48E04C94}"/>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1A0E-44E4-9150-0C8D48E04C94}"/>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Sheet30!$B$3:$B$5</c:f>
              <c:strCache>
                <c:ptCount val="3"/>
                <c:pt idx="0">
                  <c:v>Da</c:v>
                </c:pt>
                <c:pt idx="1">
                  <c:v>Ne</c:v>
                </c:pt>
                <c:pt idx="2">
                  <c:v>Ne znam</c:v>
                </c:pt>
              </c:strCache>
            </c:strRef>
          </c:cat>
          <c:val>
            <c:numRef>
              <c:f>Sheet30!$C$3:$C$5</c:f>
              <c:numCache>
                <c:formatCode>###0.0</c:formatCode>
                <c:ptCount val="3"/>
                <c:pt idx="0">
                  <c:v>47.6038338658147</c:v>
                </c:pt>
                <c:pt idx="1">
                  <c:v>19.169329073482398</c:v>
                </c:pt>
                <c:pt idx="2">
                  <c:v>33.226837060702898</c:v>
                </c:pt>
              </c:numCache>
            </c:numRef>
          </c:val>
          <c:extLst>
            <c:ext xmlns:c16="http://schemas.microsoft.com/office/drawing/2014/chart" uri="{C3380CC4-5D6E-409C-BE32-E72D297353CC}">
              <c16:uniqueId val="{00000004-1A0E-44E4-9150-0C8D48E04C94}"/>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231A-45FE-B66C-1A3FBB6C5A71}"/>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231A-45FE-B66C-1A3FBB6C5A71}"/>
              </c:ext>
            </c:extLst>
          </c:dPt>
          <c:dPt>
            <c:idx val="3"/>
            <c:invertIfNegative val="0"/>
            <c:bubble3D val="0"/>
            <c:spPr>
              <a:solidFill>
                <a:sysClr val="window" lastClr="FFFFFF">
                  <a:lumMod val="85000"/>
                </a:sysClr>
              </a:solidFill>
              <a:ln>
                <a:noFill/>
              </a:ln>
              <a:effectLst/>
            </c:spPr>
            <c:extLst>
              <c:ext xmlns:c16="http://schemas.microsoft.com/office/drawing/2014/chart" uri="{C3380CC4-5D6E-409C-BE32-E72D297353CC}">
                <c16:uniqueId val="{00000005-231A-45FE-B66C-1A3FBB6C5A71}"/>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Sheet7!$B$3:$B$6</c:f>
              <c:strCache>
                <c:ptCount val="4"/>
                <c:pt idx="0">
                  <c:v>Da, u potpunosti</c:v>
                </c:pt>
                <c:pt idx="1">
                  <c:v>Da, djelimično</c:v>
                </c:pt>
                <c:pt idx="2">
                  <c:v>Ne</c:v>
                </c:pt>
                <c:pt idx="3">
                  <c:v>Ne mogu da procijenim</c:v>
                </c:pt>
              </c:strCache>
            </c:strRef>
          </c:cat>
          <c:val>
            <c:numRef>
              <c:f>Sheet7!$C$3:$C$6</c:f>
              <c:numCache>
                <c:formatCode>###0.0</c:formatCode>
                <c:ptCount val="4"/>
                <c:pt idx="0">
                  <c:v>29.3929712460064</c:v>
                </c:pt>
                <c:pt idx="1">
                  <c:v>3.8338658146964901</c:v>
                </c:pt>
                <c:pt idx="2">
                  <c:v>19.488817891373799</c:v>
                </c:pt>
                <c:pt idx="3">
                  <c:v>47.284345047923303</c:v>
                </c:pt>
              </c:numCache>
            </c:numRef>
          </c:val>
          <c:extLst>
            <c:ext xmlns:c16="http://schemas.microsoft.com/office/drawing/2014/chart" uri="{C3380CC4-5D6E-409C-BE32-E72D297353CC}">
              <c16:uniqueId val="{00000006-231A-45FE-B66C-1A3FBB6C5A71}"/>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doughnutChart>
        <c:varyColors val="1"/>
        <c:ser>
          <c:idx val="0"/>
          <c:order val="0"/>
          <c:dPt>
            <c:idx val="0"/>
            <c:bubble3D val="0"/>
            <c:spPr>
              <a:solidFill>
                <a:srgbClr val="92D050"/>
              </a:solidFill>
              <a:ln w="19050">
                <a:solidFill>
                  <a:schemeClr val="lt1"/>
                </a:solidFill>
              </a:ln>
              <a:effectLst/>
            </c:spPr>
            <c:extLst>
              <c:ext xmlns:c16="http://schemas.microsoft.com/office/drawing/2014/chart" uri="{C3380CC4-5D6E-409C-BE32-E72D297353CC}">
                <c16:uniqueId val="{00000001-CCCF-484A-BC9E-F0AE107B422D}"/>
              </c:ext>
            </c:extLst>
          </c:dPt>
          <c:dPt>
            <c:idx val="1"/>
            <c:bubble3D val="0"/>
            <c:spPr>
              <a:solidFill>
                <a:srgbClr val="FFC000"/>
              </a:solidFill>
              <a:ln w="19050">
                <a:solidFill>
                  <a:schemeClr val="lt1"/>
                </a:solidFill>
              </a:ln>
              <a:effectLst/>
            </c:spPr>
            <c:extLst>
              <c:ext xmlns:c16="http://schemas.microsoft.com/office/drawing/2014/chart" uri="{C3380CC4-5D6E-409C-BE32-E72D297353CC}">
                <c16:uniqueId val="{00000003-CCCF-484A-BC9E-F0AE107B422D}"/>
              </c:ext>
            </c:extLst>
          </c:dPt>
          <c:dLbls>
            <c:spPr>
              <a:noFill/>
              <a:ln>
                <a:noFill/>
              </a:ln>
              <a:effectLst/>
            </c:spPr>
            <c:txPr>
              <a:bodyPr rot="0" spcFirstLastPara="1" vertOverflow="ellipsis" vert="horz" wrap="square" lIns="38100" tIns="19050" rIns="38100" bIns="19050" anchor="ctr" anchorCtr="1">
                <a:spAutoFit/>
              </a:bodyPr>
              <a:lstStyle/>
              <a:p>
                <a:pPr>
                  <a:defRPr lang="en-US" sz="105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Sheet8!$B$3:$B$4</c:f>
              <c:strCache>
                <c:ptCount val="2"/>
                <c:pt idx="0">
                  <c:v>Da</c:v>
                </c:pt>
                <c:pt idx="1">
                  <c:v>Ne</c:v>
                </c:pt>
              </c:strCache>
            </c:strRef>
          </c:cat>
          <c:val>
            <c:numRef>
              <c:f>Sheet8!$C$3:$C$4</c:f>
              <c:numCache>
                <c:formatCode>###0.0</c:formatCode>
                <c:ptCount val="2"/>
                <c:pt idx="0">
                  <c:v>10.8626198083067</c:v>
                </c:pt>
                <c:pt idx="1">
                  <c:v>89.137380191693296</c:v>
                </c:pt>
              </c:numCache>
            </c:numRef>
          </c:val>
          <c:extLst>
            <c:ext xmlns:c16="http://schemas.microsoft.com/office/drawing/2014/chart" uri="{C3380CC4-5D6E-409C-BE32-E72D297353CC}">
              <c16:uniqueId val="{00000004-CCCF-484A-BC9E-F0AE107B422D}"/>
            </c:ext>
          </c:extLst>
        </c:ser>
        <c:dLbls>
          <c:showLegendKey val="0"/>
          <c:showVal val="1"/>
          <c:showCatName val="0"/>
          <c:showSerName val="0"/>
          <c:showPercent val="0"/>
          <c:showBubbleSize val="0"/>
          <c:showLeaderLines val="1"/>
        </c:dLbls>
        <c:firstSliceAng val="0"/>
        <c:holeSize val="55"/>
      </c:doughnutChart>
      <c:spPr>
        <a:noFill/>
        <a:ln>
          <a:noFill/>
        </a:ln>
        <a:effectLst/>
      </c:spPr>
    </c:plotArea>
    <c:legend>
      <c:legendPos val="r"/>
      <c:overlay val="0"/>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rgbClr val="92D050"/>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78EC-4B55-BF34-E723462F0B63}"/>
              </c:ext>
            </c:extLst>
          </c:dPt>
          <c:dPt>
            <c:idx val="2"/>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3-78EC-4B55-BF34-E723462F0B63}"/>
              </c:ext>
            </c:extLst>
          </c:dPt>
          <c:dLbls>
            <c:spPr>
              <a:noFill/>
              <a:ln>
                <a:noFill/>
              </a:ln>
              <a:effectLst/>
            </c:spPr>
            <c:txPr>
              <a:bodyPr rot="0" spcFirstLastPara="1" vertOverflow="ellipsis" vert="horz" wrap="square" lIns="38100" tIns="19050" rIns="38100" bIns="19050" anchor="ctr" anchorCtr="1">
                <a:spAutoFit/>
              </a:bodyPr>
              <a:lstStyle/>
              <a:p>
                <a:pPr>
                  <a:defRPr lang="en-US" sz="1050" b="1" i="0" u="none" strike="noStrike" kern="1200" baseline="0">
                    <a:solidFill>
                      <a:sysClr val="windowText" lastClr="000000"/>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Sheet9!$B$3:$B$5</c:f>
              <c:strCache>
                <c:ptCount val="3"/>
                <c:pt idx="0">
                  <c:v>Da, deportovano je</c:v>
                </c:pt>
                <c:pt idx="1">
                  <c:v>Da, preživjelo je</c:v>
                </c:pt>
                <c:pt idx="2">
                  <c:v>Ne, nisam upoznat</c:v>
                </c:pt>
              </c:strCache>
            </c:strRef>
          </c:cat>
          <c:val>
            <c:numRef>
              <c:f>Sheet9!$C$3:$C$5</c:f>
              <c:numCache>
                <c:formatCode>###0.0</c:formatCode>
                <c:ptCount val="3"/>
                <c:pt idx="0">
                  <c:v>5</c:v>
                </c:pt>
                <c:pt idx="1">
                  <c:v>16.600000000000001</c:v>
                </c:pt>
                <c:pt idx="2">
                  <c:v>78.400000000000006</c:v>
                </c:pt>
              </c:numCache>
            </c:numRef>
          </c:val>
          <c:extLst>
            <c:ext xmlns:c16="http://schemas.microsoft.com/office/drawing/2014/chart" uri="{C3380CC4-5D6E-409C-BE32-E72D297353CC}">
              <c16:uniqueId val="{00000004-78EC-4B55-BF34-E723462F0B63}"/>
            </c:ext>
          </c:extLst>
        </c:ser>
        <c:dLbls>
          <c:showLegendKey val="0"/>
          <c:showVal val="1"/>
          <c:showCatName val="0"/>
          <c:showSerName val="0"/>
          <c:showPercent val="0"/>
          <c:showBubbleSize val="0"/>
        </c:dLbls>
        <c:gapWidth val="219"/>
        <c:overlap val="-27"/>
        <c:axId val="2123270992"/>
        <c:axId val="2123279152"/>
      </c:barChart>
      <c:catAx>
        <c:axId val="212327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50" b="0" i="0" u="none" strike="noStrike" kern="1200" baseline="0">
                <a:solidFill>
                  <a:sysClr val="windowText" lastClr="000000"/>
                </a:solidFill>
                <a:latin typeface="+mn-lt"/>
                <a:ea typeface="+mn-ea"/>
                <a:cs typeface="+mn-cs"/>
              </a:defRPr>
            </a:pPr>
            <a:endParaRPr lang="en-US"/>
          </a:p>
        </c:txPr>
        <c:crossAx val="2123279152"/>
        <c:crosses val="autoZero"/>
        <c:auto val="1"/>
        <c:lblAlgn val="ctr"/>
        <c:lblOffset val="100"/>
        <c:noMultiLvlLbl val="0"/>
      </c:catAx>
      <c:valAx>
        <c:axId val="2123279152"/>
        <c:scaling>
          <c:orientation val="minMax"/>
        </c:scaling>
        <c:delete val="1"/>
        <c:axPos val="l"/>
        <c:numFmt formatCode="###0.0" sourceLinked="1"/>
        <c:majorTickMark val="none"/>
        <c:minorTickMark val="none"/>
        <c:tickLblPos val="nextTo"/>
        <c:crossAx val="2123270992"/>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lang="en-US"/>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Narrow"/>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95B00-D8F7-EF45-B5B7-ED87D7EEA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4184</Words>
  <Characters>23852</Characters>
  <Application>Microsoft Office Word</Application>
  <DocSecurity>0</DocSecurity>
  <Lines>198</Lines>
  <Paragraphs>55</Paragraphs>
  <ScaleCrop>false</ScaleCrop>
  <Company/>
  <LinksUpToDate>false</LinksUpToDate>
  <CharactersWithSpaces>27981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FENJER</dc:creator>
  <cp:lastModifiedBy>Martina</cp:lastModifiedBy>
  <cp:revision>2</cp:revision>
  <dcterms:created xsi:type="dcterms:W3CDTF">2024-05-24T14:55:00Z</dcterms:created>
  <dcterms:modified xsi:type="dcterms:W3CDTF">2024-05-24T14:55:00Z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4C98BEE88BE64D6EAF587B33213B85A4_12</vt:lpwstr>
  </property>
</Properties>
</file>