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11026E" w:rsidRDefault="000830F1" w:rsidP="0011026E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  <w:lang w:val="uz-Cyrl-UZ"/>
        </w:rPr>
      </w:pPr>
      <w:r w:rsidRPr="0011026E">
        <w:rPr>
          <w:rFonts w:asciiTheme="majorHAnsi" w:eastAsia="Times New Roman" w:hAnsiTheme="majorHAnsi" w:cs="Times New Roman"/>
          <w:b/>
          <w:bCs/>
          <w:noProof/>
          <w:color w:val="365F91"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7F3DF9A" wp14:editId="71D5F07B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11026E" w:rsidRDefault="000830F1" w:rsidP="0011026E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</w:pPr>
      <w:r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 xml:space="preserve">Sloboda izražavanja – presude Evropskog suda za ljudska prava </w:t>
      </w:r>
    </w:p>
    <w:p w:rsidR="000830F1" w:rsidRPr="0011026E" w:rsidRDefault="001479EE" w:rsidP="0011026E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</w:pPr>
      <w:r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>Bilten L</w:t>
      </w:r>
      <w:r w:rsidR="0011026E"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>I</w:t>
      </w:r>
      <w:r w:rsidR="000830F1"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 xml:space="preserve">: PREGLED PRESUDA IZ </w:t>
      </w:r>
      <w:r w:rsidR="0011026E"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>MARTA</w:t>
      </w:r>
      <w:r w:rsidR="0082765E" w:rsidRPr="0011026E">
        <w:rPr>
          <w:rFonts w:asciiTheme="majorHAnsi" w:eastAsia="Times New Roman" w:hAnsiTheme="majorHAnsi" w:cs="Times New Roman"/>
          <w:b/>
          <w:bCs/>
          <w:sz w:val="28"/>
          <w:szCs w:val="28"/>
          <w:lang w:val="uz-Cyrl-UZ"/>
        </w:rPr>
        <w:t xml:space="preserve"> 2015.</w:t>
      </w:r>
    </w:p>
    <w:p w:rsidR="000830F1" w:rsidRPr="0011026E" w:rsidRDefault="00D06798" w:rsidP="0011026E">
      <w:pPr>
        <w:jc w:val="both"/>
        <w:rPr>
          <w:rFonts w:asciiTheme="majorHAnsi" w:eastAsia="Calibri" w:hAnsiTheme="majorHAnsi" w:cs="Times New Roman"/>
          <w:i/>
          <w:sz w:val="24"/>
          <w:szCs w:val="24"/>
          <w:lang w:val="uz-Cyrl-UZ"/>
        </w:rPr>
      </w:pPr>
      <w:r w:rsidRPr="0011026E">
        <w:rPr>
          <w:rFonts w:asciiTheme="majorHAnsi" w:eastAsia="Calibri" w:hAnsiTheme="majorHAnsi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D6816" wp14:editId="281ECC44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1479EE" w:rsidRPr="0011026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6</w:t>
      </w:r>
      <w:r w:rsidR="000830F1" w:rsidRPr="0011026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.</w:t>
      </w:r>
      <w:r w:rsidR="001479EE" w:rsidRPr="0011026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 xml:space="preserve"> </w:t>
      </w:r>
      <w:r w:rsidR="0011026E" w:rsidRPr="0011026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april</w:t>
      </w:r>
      <w:r w:rsidR="001479EE" w:rsidRPr="0011026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 xml:space="preserve"> 2015.</w:t>
      </w:r>
    </w:p>
    <w:p w:rsidR="000830F1" w:rsidRPr="0011026E" w:rsidRDefault="000830F1" w:rsidP="0011026E">
      <w:pPr>
        <w:spacing w:after="0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Default="0011026E" w:rsidP="0011026E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82227D" w:rsidRPr="0011026E" w:rsidRDefault="0011026E" w:rsidP="0011026E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11026E">
        <w:rPr>
          <w:rFonts w:asciiTheme="majorHAnsi" w:eastAsia="Calibri" w:hAnsiTheme="majorHAnsi" w:cs="Times New Roman"/>
          <w:sz w:val="24"/>
          <w:szCs w:val="24"/>
          <w:lang w:val="uz-Cyrl-UZ"/>
        </w:rPr>
        <w:t>U martu</w:t>
      </w:r>
      <w:r w:rsidR="0082765E" w:rsidRPr="0011026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2015, Evropski sud za ljudska prava je odlučivao u sljedećim slučajevima koji su se odnosili na slobodu izražavanja:  </w:t>
      </w:r>
    </w:p>
    <w:p w:rsidR="0011026E" w:rsidRDefault="0011026E" w:rsidP="0011026E">
      <w:pPr>
        <w:numPr>
          <w:ilvl w:val="0"/>
          <w:numId w:val="13"/>
        </w:numPr>
        <w:suppressAutoHyphens/>
        <w:contextualSpacing/>
        <w:jc w:val="both"/>
        <w:rPr>
          <w:rFonts w:asciiTheme="majorHAnsi" w:eastAsia="Droid Sans Fallback" w:hAnsiTheme="majorHAnsi" w:cs="Times New Roman"/>
          <w:sz w:val="24"/>
          <w:szCs w:val="24"/>
          <w:lang w:val="uz-Cyrl-UZ"/>
        </w:rPr>
      </w:pPr>
      <w:r w:rsidRPr="00996D15">
        <w:rPr>
          <w:rFonts w:asciiTheme="majorHAnsi" w:eastAsia="Droid Sans Fallback" w:hAnsiTheme="majorHAnsi" w:cs="Times New Roman"/>
          <w:b/>
          <w:i/>
          <w:iCs/>
          <w:sz w:val="24"/>
          <w:szCs w:val="24"/>
          <w:lang w:val="uz-Cyrl-UZ"/>
        </w:rPr>
        <w:t>Maguire protiv Ujedinjenog kraljevstva</w:t>
      </w:r>
      <w:r w:rsidRPr="0011026E">
        <w:rPr>
          <w:rFonts w:asciiTheme="majorHAnsi" w:eastAsia="Droid Sans Fallback" w:hAnsiTheme="majorHAnsi" w:cs="Times New Roman"/>
          <w:i/>
          <w:iCs/>
          <w:sz w:val="24"/>
          <w:szCs w:val="24"/>
          <w:lang w:val="uz-Cyrl-UZ"/>
        </w:rPr>
        <w:t xml:space="preserve"> </w:t>
      </w:r>
      <w:r w:rsidRPr="0011026E">
        <w:rPr>
          <w:rFonts w:asciiTheme="majorHAnsi" w:eastAsia="Droid Sans Fallback" w:hAnsiTheme="majorHAnsi" w:cs="Times New Roman"/>
          <w:iCs/>
          <w:sz w:val="24"/>
          <w:szCs w:val="24"/>
          <w:lang w:val="uz-Cyrl-UZ"/>
        </w:rPr>
        <w:t>(</w:t>
      </w:r>
      <w:r w:rsidRPr="0011026E"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predstavka br. 58060/13), 3. mart 2015: </w:t>
      </w:r>
      <w:r>
        <w:rPr>
          <w:rFonts w:asciiTheme="majorHAnsi" w:eastAsia="Droid Sans Fallback" w:hAnsiTheme="majorHAnsi" w:cs="Times New Roman"/>
          <w:sz w:val="24"/>
          <w:szCs w:val="24"/>
          <w:lang w:val="uz-Cyrl-UZ"/>
        </w:rPr>
        <w:t>osudom zbog nošenja provokativne maj</w:t>
      </w:r>
      <w:r w:rsidR="002C0F0D">
        <w:rPr>
          <w:rFonts w:asciiTheme="majorHAnsi" w:eastAsia="Droid Sans Fallback" w:hAnsiTheme="majorHAnsi" w:cs="Times New Roman"/>
          <w:sz w:val="24"/>
          <w:szCs w:val="24"/>
          <w:lang w:val="uz-Cyrl-UZ"/>
        </w:rPr>
        <w:t>i</w:t>
      </w:r>
      <w:r>
        <w:rPr>
          <w:rFonts w:asciiTheme="majorHAnsi" w:eastAsia="Droid Sans Fallback" w:hAnsiTheme="majorHAnsi" w:cs="Times New Roman"/>
          <w:sz w:val="24"/>
          <w:szCs w:val="24"/>
          <w:lang w:val="uz-Cyrl-UZ"/>
        </w:rPr>
        <w:t>ce nije prekršeno pravo na slobodu izražavanja;</w:t>
      </w:r>
    </w:p>
    <w:p w:rsidR="0011026E" w:rsidRPr="0011026E" w:rsidRDefault="0011026E" w:rsidP="0011026E">
      <w:pPr>
        <w:numPr>
          <w:ilvl w:val="0"/>
          <w:numId w:val="13"/>
        </w:numPr>
        <w:suppressAutoHyphens/>
        <w:contextualSpacing/>
        <w:jc w:val="both"/>
        <w:rPr>
          <w:rFonts w:asciiTheme="majorHAnsi" w:eastAsia="Droid Sans Fallback" w:hAnsiTheme="majorHAnsi" w:cs="Times New Roman"/>
          <w:sz w:val="24"/>
          <w:szCs w:val="24"/>
          <w:lang w:val="uz-Cyrl-UZ"/>
        </w:rPr>
      </w:pPr>
      <w:r w:rsidRPr="00996D15">
        <w:rPr>
          <w:rFonts w:asciiTheme="majorHAnsi" w:eastAsia="Droid Sans Fallback" w:hAnsiTheme="majorHAnsi" w:cs="Times New Roman"/>
          <w:b/>
          <w:i/>
          <w:sz w:val="24"/>
          <w:szCs w:val="24"/>
          <w:lang w:val="uz-Cyrl-UZ"/>
        </w:rPr>
        <w:t>Almeida Leitão Bento Fernandes protiv</w:t>
      </w:r>
      <w:r w:rsidRPr="0011026E">
        <w:rPr>
          <w:rFonts w:asciiTheme="majorHAnsi" w:eastAsia="Droid Sans Fallback" w:hAnsiTheme="majorHAnsi" w:cs="Times New Roman"/>
          <w:b/>
          <w:i/>
          <w:sz w:val="24"/>
          <w:szCs w:val="24"/>
          <w:lang w:val="uz-Cyrl-UZ"/>
        </w:rPr>
        <w:t xml:space="preserve"> Portugal</w:t>
      </w:r>
      <w:r w:rsidRPr="00996D15">
        <w:rPr>
          <w:rFonts w:asciiTheme="majorHAnsi" w:eastAsia="Droid Sans Fallback" w:hAnsiTheme="majorHAnsi" w:cs="Times New Roman"/>
          <w:b/>
          <w:sz w:val="24"/>
          <w:szCs w:val="24"/>
          <w:lang w:val="uz-Cyrl-UZ"/>
        </w:rPr>
        <w:t>a</w:t>
      </w:r>
      <w:r w:rsidRPr="0011026E"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 (predstavka br.  25790/11), 12. mart 2015:</w:t>
      </w:r>
      <w:r w:rsidR="002C0F0D"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 </w:t>
      </w:r>
      <w:r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osudom za klevetu zbog romana o porodici </w:t>
      </w:r>
      <w:r w:rsidR="002C0F0D"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autorke </w:t>
      </w:r>
      <w:r>
        <w:rPr>
          <w:rFonts w:asciiTheme="majorHAnsi" w:eastAsia="Droid Sans Fallback" w:hAnsiTheme="majorHAnsi" w:cs="Times New Roman"/>
          <w:sz w:val="24"/>
          <w:szCs w:val="24"/>
          <w:lang w:val="uz-Cyrl-UZ"/>
        </w:rPr>
        <w:t>nije prekršeno pravo na slobodu izražavanja;</w:t>
      </w:r>
    </w:p>
    <w:p w:rsidR="0011026E" w:rsidRPr="0011026E" w:rsidRDefault="0011026E" w:rsidP="0011026E">
      <w:pPr>
        <w:numPr>
          <w:ilvl w:val="0"/>
          <w:numId w:val="13"/>
        </w:numPr>
        <w:suppressAutoHyphens/>
        <w:contextualSpacing/>
        <w:jc w:val="both"/>
        <w:rPr>
          <w:rFonts w:asciiTheme="majorHAnsi" w:eastAsia="Droid Sans Fallback" w:hAnsiTheme="majorHAnsi" w:cs="Times New Roman"/>
          <w:sz w:val="24"/>
          <w:szCs w:val="24"/>
          <w:lang w:val="uz-Cyrl-UZ"/>
        </w:rPr>
      </w:pPr>
      <w:r w:rsidRPr="00996D15">
        <w:rPr>
          <w:rFonts w:asciiTheme="majorHAnsi" w:eastAsia="Droid Sans Fallback" w:hAnsiTheme="majorHAnsi" w:cs="Times New Roman"/>
          <w:b/>
          <w:i/>
          <w:sz w:val="24"/>
          <w:szCs w:val="24"/>
          <w:lang w:val="uz-Cyrl-UZ"/>
        </w:rPr>
        <w:t xml:space="preserve">Öner i Türk protiv </w:t>
      </w:r>
      <w:r w:rsidR="00996D15">
        <w:rPr>
          <w:rFonts w:asciiTheme="majorHAnsi" w:eastAsia="Droid Sans Fallback" w:hAnsiTheme="majorHAnsi" w:cs="Times New Roman"/>
          <w:b/>
          <w:i/>
          <w:sz w:val="24"/>
          <w:szCs w:val="24"/>
          <w:lang w:val="uz-Cyrl-UZ"/>
        </w:rPr>
        <w:t>Tur</w:t>
      </w:r>
      <w:r w:rsidRPr="00996D15">
        <w:rPr>
          <w:rFonts w:asciiTheme="majorHAnsi" w:eastAsia="Droid Sans Fallback" w:hAnsiTheme="majorHAnsi" w:cs="Times New Roman"/>
          <w:b/>
          <w:i/>
          <w:sz w:val="24"/>
          <w:szCs w:val="24"/>
          <w:lang w:val="uz-Cyrl-UZ"/>
        </w:rPr>
        <w:t>ske</w:t>
      </w:r>
      <w:r w:rsidRPr="0011026E">
        <w:rPr>
          <w:rFonts w:asciiTheme="majorHAnsi" w:eastAsia="Droid Sans Fallback" w:hAnsiTheme="majorHAnsi" w:cs="Times New Roman"/>
          <w:i/>
          <w:sz w:val="24"/>
          <w:szCs w:val="24"/>
          <w:lang w:val="uz-Cyrl-UZ"/>
        </w:rPr>
        <w:t xml:space="preserve"> </w:t>
      </w:r>
      <w:r w:rsidRPr="0011026E"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(predstavka br.  51962/12), 31. mart 2015: </w:t>
      </w:r>
      <w:r>
        <w:rPr>
          <w:rFonts w:asciiTheme="majorHAnsi" w:eastAsia="Droid Sans Fallback" w:hAnsiTheme="majorHAnsi" w:cs="Times New Roman"/>
          <w:sz w:val="24"/>
          <w:szCs w:val="24"/>
          <w:lang w:val="uz-Cyrl-UZ"/>
        </w:rPr>
        <w:t xml:space="preserve">osudom zbog širenja „terorističke propagande“ </w:t>
      </w:r>
      <w:r w:rsidR="002C0F0D">
        <w:rPr>
          <w:rFonts w:asciiTheme="majorHAnsi" w:eastAsia="Droid Sans Fallback" w:hAnsiTheme="majorHAnsi" w:cs="Times New Roman"/>
          <w:sz w:val="24"/>
          <w:szCs w:val="24"/>
          <w:lang w:val="uz-Cyrl-UZ"/>
        </w:rPr>
        <w:t>u govoru koji je pozivao na mir</w:t>
      </w:r>
      <w:r w:rsidR="00996D15">
        <w:rPr>
          <w:rFonts w:asciiTheme="majorHAnsi" w:eastAsia="Droid Sans Fallback" w:hAnsiTheme="majorHAnsi" w:cs="Times New Roman"/>
          <w:sz w:val="24"/>
          <w:szCs w:val="24"/>
          <w:lang w:val="uz-Cyrl-UZ"/>
        </w:rPr>
        <w:t>no rješenje kurdskog problema je prekršeno pravo na slobodu izražavanja.</w:t>
      </w:r>
    </w:p>
    <w:p w:rsidR="0011026E" w:rsidRDefault="0011026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AE2C8C" w:rsidRPr="0011026E" w:rsidRDefault="0011026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11026E">
        <w:rPr>
          <w:rFonts w:asciiTheme="majorHAnsi" w:eastAsia="Calibri" w:hAnsiTheme="majorHAnsi" w:cs="Times New Roman"/>
          <w:sz w:val="24"/>
          <w:szCs w:val="24"/>
          <w:lang w:val="uz-Cyrl-UZ"/>
        </w:rPr>
        <w:t>Navedene presude ticale su se sljedećeg:</w:t>
      </w:r>
    </w:p>
    <w:p w:rsidR="0011026E" w:rsidRPr="0011026E" w:rsidRDefault="0011026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Pr="00996D15" w:rsidRDefault="00996D15" w:rsidP="00996D15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996D15">
        <w:rPr>
          <w:rFonts w:asciiTheme="majorHAnsi" w:eastAsia="Calibri" w:hAnsiTheme="majorHAnsi" w:cs="Times New Roman"/>
          <w:b/>
          <w:sz w:val="24"/>
          <w:szCs w:val="24"/>
          <w:lang w:val="uz-Cyrl-UZ"/>
        </w:rPr>
        <w:t>Maguire protiv Ujedinjenog kraljevstva</w:t>
      </w:r>
      <w:r w:rsidRPr="00996D15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(predstavka br. 58060/13), 3. mart 2015: </w:t>
      </w:r>
      <w:r w:rsidRPr="008552F3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osudom zbog nošenja provokativne maj</w:t>
      </w:r>
      <w:r w:rsidR="002C0F0D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i</w:t>
      </w:r>
      <w:r w:rsidRPr="008552F3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ce nije prekršeno pravo na slobodu izražavanja</w:t>
      </w:r>
    </w:p>
    <w:p w:rsidR="0011026E" w:rsidRDefault="0011026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Default="00C855EC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>
        <w:rPr>
          <w:rFonts w:asciiTheme="majorHAnsi" w:eastAsia="Calibri" w:hAnsiTheme="majorHAnsi" w:cs="Times New Roman"/>
          <w:sz w:val="24"/>
          <w:szCs w:val="24"/>
          <w:lang w:val="uz-Cyrl-UZ"/>
        </w:rPr>
        <w:t>S</w:t>
      </w:r>
      <w:r w:rsidR="008552F3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lučaj se ticao osobe koja je na fudbalskoj utakmici nosila majicu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s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logo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om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8552F3">
        <w:rPr>
          <w:rFonts w:asciiTheme="majorHAnsi" w:eastAsia="Calibri" w:hAnsiTheme="majorHAnsi" w:cs="Times New Roman"/>
          <w:sz w:val="24"/>
          <w:szCs w:val="24"/>
          <w:lang w:val="uz-Cyrl-UZ"/>
        </w:rPr>
        <w:t>Irske nacionalne oslobodilačke armije, koja je prema Zakonu o terorizmu Ujedinjenog kraljevstva zabranjena organ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>izacija, a koji</w:t>
      </w:r>
      <w:r w:rsidR="00A37EF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je pratio slogan 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>„J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...Š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MAK SJETI SE DERIJA“</w:t>
      </w:r>
      <w:r w:rsidR="002C0F0D">
        <w:rPr>
          <w:rStyle w:val="FootnoteReference"/>
          <w:rFonts w:asciiTheme="majorHAnsi" w:eastAsia="Calibri" w:hAnsiTheme="majorHAnsi" w:cs="Times New Roman"/>
          <w:sz w:val="24"/>
          <w:szCs w:val="24"/>
          <w:lang w:val="uz-Cyrl-UZ"/>
        </w:rPr>
        <w:footnoteReference w:id="1"/>
      </w:r>
      <w:r w:rsidR="00A37EF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(u Ujedinjenom kraljevstvu, cvijet maka simbolizuje znak sjećanja na članove oružanih snaga koji su umrli na dužnosti i uglavnom se nosi oko 11. novembra). Utakmica se</w:t>
      </w:r>
      <w:r w:rsidR="00E73C2A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>igrala između fudbalski</w:t>
      </w:r>
      <w:r w:rsidR="00A37EF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h klubova </w:t>
      </w:r>
      <w:r w:rsidR="00A37EFB" w:rsidRPr="00A37EFB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Rendžersi</w:t>
      </w:r>
      <w:r w:rsidR="00A37EF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 </w:t>
      </w:r>
      <w:r w:rsidR="00A37EFB" w:rsidRPr="00A37EFB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Seltik</w:t>
      </w:r>
      <w:r w:rsidR="009B395A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 xml:space="preserve">, 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 na prethodnim mečevima među ovim klubovima je zabilježeno </w:t>
      </w:r>
      <w:r w:rsidR="009B395A" w:rsidRPr="009B395A">
        <w:rPr>
          <w:rFonts w:asciiTheme="majorHAnsi" w:eastAsia="Calibri" w:hAnsiTheme="majorHAnsi" w:cs="Times New Roman"/>
          <w:sz w:val="24"/>
          <w:szCs w:val="24"/>
          <w:lang w:val="uz-Cyrl-UZ"/>
        </w:rPr>
        <w:t>sektaško nasilje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između njihovih rivala, navijača </w:t>
      </w:r>
      <w:r w:rsidR="002C0F0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protestanata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i katolika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>. Po završe</w:t>
      </w:r>
      <w:r w:rsidR="00B6714E">
        <w:rPr>
          <w:rFonts w:asciiTheme="majorHAnsi" w:eastAsia="Calibri" w:hAnsiTheme="majorHAnsi" w:cs="Times New Roman"/>
          <w:sz w:val="24"/>
          <w:szCs w:val="24"/>
          <w:lang w:val="uz-Cyrl-UZ"/>
        </w:rPr>
        <w:t>tku utakmice podnositelj predst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avke je zajedno sa drugim navijačima </w:t>
      </w:r>
      <w:r w:rsidR="009B395A" w:rsidRPr="009B395A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Seltika</w:t>
      </w:r>
      <w:r w:rsidR="009B395A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B6714E">
        <w:rPr>
          <w:rFonts w:asciiTheme="majorHAnsi" w:eastAsia="Calibri" w:hAnsiTheme="majorHAnsi" w:cs="Times New Roman"/>
          <w:sz w:val="24"/>
          <w:szCs w:val="24"/>
          <w:lang w:val="uz-Cyrl-UZ"/>
        </w:rPr>
        <w:t>osuđen za „narušavanje mira“ i zabranjeno mu je da prisustvuje fudbalskim utakmicama dvije godine.</w:t>
      </w:r>
    </w:p>
    <w:p w:rsidR="00B6714E" w:rsidRDefault="00B6714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Default="00B6714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lastRenderedPageBreak/>
        <w:t xml:space="preserve">Evropski sud za ljudska prava je smatrao da pravo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podnosioca predstavke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na slobodu izražavanja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nije prekršeno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i proglasio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je slučaj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neprihvatljivim</w:t>
      </w:r>
      <w:r w:rsidR="00C855EC">
        <w:rPr>
          <w:rFonts w:asciiTheme="majorHAnsi" w:eastAsia="Calibri" w:hAnsiTheme="majorHAnsi" w:cs="Times New Roman"/>
          <w:sz w:val="24"/>
          <w:szCs w:val="24"/>
          <w:lang w:val="uz-Cyrl-UZ"/>
        </w:rPr>
        <w:t>, tj.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„očigledno neosnovan</w:t>
      </w:r>
      <w:r w:rsidR="00C855EC">
        <w:rPr>
          <w:rFonts w:asciiTheme="majorHAnsi" w:eastAsia="Calibri" w:hAnsiTheme="majorHAnsi" w:cs="Times New Roman"/>
          <w:sz w:val="24"/>
          <w:szCs w:val="24"/>
          <w:lang w:val="uz-Cyrl-UZ"/>
        </w:rPr>
        <w:t>im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“. Sud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je prihvatio da je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postojao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rizik od sektaškog nasilja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na fudbalskim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utakmica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ma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kao što je ova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i da je policija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najbolje mogla ocijeniti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da li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je nošenje majice moglo da dovede do nasilja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.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Sud je takođe konstatovao da je kazna bila laka (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nije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izrečena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kazna zatvora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).</w:t>
      </w:r>
      <w:r w:rsidR="00C855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N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ije smatrao da je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zabrana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od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dv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e godine bila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pretjerana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čak iako se uzme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u obzir da je podnosilac predstavke ljubitelj fudbala i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da je i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m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o 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sezonsku kartu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za utakmice </w:t>
      </w:r>
      <w:r w:rsidRPr="00B6714E">
        <w:rPr>
          <w:rFonts w:asciiTheme="majorHAnsi" w:eastAsia="Calibri" w:hAnsiTheme="majorHAnsi" w:cs="Times New Roman"/>
          <w:i/>
          <w:sz w:val="24"/>
          <w:szCs w:val="24"/>
          <w:lang w:val="uz-Cyrl-UZ"/>
        </w:rPr>
        <w:t>Seltika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>.</w:t>
      </w:r>
    </w:p>
    <w:p w:rsidR="0011026E" w:rsidRDefault="0011026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Pr="00B6714E" w:rsidRDefault="00B6714E" w:rsidP="00B6714E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B6714E">
        <w:rPr>
          <w:rFonts w:asciiTheme="majorHAnsi" w:eastAsia="Calibri" w:hAnsiTheme="majorHAnsi" w:cs="Times New Roman"/>
          <w:b/>
          <w:sz w:val="24"/>
          <w:szCs w:val="24"/>
          <w:lang w:val="uz-Cyrl-UZ"/>
        </w:rPr>
        <w:t>Almeida Leitão Bento Fernandes protiv Portugala</w:t>
      </w:r>
      <w:r w:rsidRPr="00B6714E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(predstavka br.  25790/11), 12. mart 2015: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Pr="00B6714E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 xml:space="preserve">osudom za klevetu zbog romana o porodici </w:t>
      </w:r>
      <w:r w:rsidR="007E26EC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 xml:space="preserve">autorke </w:t>
      </w:r>
      <w:r w:rsidRPr="00B6714E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nije prekršeno pravo na slobodu izražavanja</w:t>
      </w:r>
    </w:p>
    <w:p w:rsidR="009965EB" w:rsidRDefault="009965EB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Default="00C855EC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>
        <w:rPr>
          <w:rFonts w:asciiTheme="majorHAnsi" w:eastAsia="Calibri" w:hAnsiTheme="majorHAnsi" w:cs="Times New Roman"/>
          <w:sz w:val="24"/>
          <w:szCs w:val="24"/>
          <w:lang w:val="uz-Cyrl-UZ"/>
        </w:rPr>
        <w:t>S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lučaj se ticao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autorke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osuđen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e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za klevetu zbog knjige u kojoj su pominjani članovi porodice njenog supruga. U knjizi je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ispriča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na priča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o porodici koja je </w:t>
      </w:r>
      <w:r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emigrira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la</w:t>
      </w:r>
      <w:r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u S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jedinjene </w:t>
      </w:r>
      <w:r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meričke </w:t>
      </w:r>
      <w:r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D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ržave</w:t>
      </w:r>
      <w:r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sa s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j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evera Portugalije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. Pominjani su događaji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koji uključuj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u prostituciju i vanbračne veze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. U predgovoru knjige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autorka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je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zahvali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la ljudima koji su je inspirisali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navodeći da su činjenice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koje je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ispriča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la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u romanu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proizvod njene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mašte i da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je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bilo kakva sličnost sa stvarnim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činjenicama slučajna. Ujak, tetka, rođaka,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sestra i majka njenog supruga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su je ipak tužili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žaleći se da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se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roman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>ticao njihove porodične istorije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da je narušio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ugled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njihove </w:t>
      </w:r>
      <w:r w:rsidR="009965EB" w:rsidRPr="009965EB">
        <w:rPr>
          <w:rFonts w:asciiTheme="majorHAnsi" w:eastAsia="Calibri" w:hAnsiTheme="majorHAnsi" w:cs="Times New Roman"/>
          <w:sz w:val="24"/>
          <w:szCs w:val="24"/>
          <w:lang w:val="uz-Cyrl-UZ"/>
        </w:rPr>
        <w:t>porodice.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Autorki </w:t>
      </w:r>
      <w:r w:rsidR="009965EB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je dosuđena novčana kazna od 4.000 EUR i naloženo joj je da plati odštetu u iznosu od 53.500 EUR. </w:t>
      </w:r>
    </w:p>
    <w:p w:rsidR="00ED75CD" w:rsidRDefault="00ED75CD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ED75CD" w:rsidRDefault="00ED75CD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Sud je zak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ljučio da osudom nije prekršeno pravo na slobodu izražavanja.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P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rim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etio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je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da osobe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prikazane u romanu nisu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bile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javne ličnosti.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Ovo je značilo da je domaćim organima dato široko polje procjene pri ocjenjivanju „neophodnosti“ kazne koja je izrečena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autorki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.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Sud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nije vidio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razlog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zbog kog se ne bi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složi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o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sa zaključkom portugalskih sudova da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je naracija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romana zaista bi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la klevetnička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, i prim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etio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je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da su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portugalski 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>sudovi u svojim presudama prepozna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li</w:t>
      </w:r>
      <w:r w:rsidRPr="00ED75CD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značaj prava na slobodu izražavanja.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Sud je takođe konstatovao da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su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iznos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i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novčane kazne i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od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štete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>utvrđe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n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i</w:t>
      </w:r>
      <w:r w:rsidR="00100DDF"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u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skladu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s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finansijsk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om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situacij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om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autorke</w:t>
      </w:r>
      <w:r w:rsid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. </w:t>
      </w:r>
    </w:p>
    <w:p w:rsidR="00ED75CD" w:rsidRDefault="00ED75CD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1026E" w:rsidRDefault="00100DDF" w:rsidP="00100DDF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100DDF">
        <w:rPr>
          <w:rFonts w:asciiTheme="majorHAnsi" w:eastAsia="Calibri" w:hAnsiTheme="majorHAnsi" w:cs="Times New Roman"/>
          <w:b/>
          <w:sz w:val="24"/>
          <w:szCs w:val="24"/>
          <w:lang w:val="uz-Cyrl-UZ"/>
        </w:rPr>
        <w:t>Öner i Türk protiv Turske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(predstavka br.  51962/12), 31. mart 2015: </w:t>
      </w:r>
      <w:r w:rsidRPr="00100DDF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 xml:space="preserve">osudom zbog širenja „terorističke propagande“ </w:t>
      </w:r>
      <w:r w:rsidR="007E26EC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u govoru koji je pozivao na mir</w:t>
      </w:r>
      <w:r w:rsidRPr="00100DDF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>no rješenje kurdskog problema prekršeno</w:t>
      </w:r>
      <w:r w:rsidR="00806427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 xml:space="preserve"> je</w:t>
      </w:r>
      <w:r w:rsidRPr="00100DDF">
        <w:rPr>
          <w:rFonts w:asciiTheme="majorHAnsi" w:eastAsia="Calibri" w:hAnsiTheme="majorHAnsi" w:cs="Times New Roman"/>
          <w:sz w:val="24"/>
          <w:szCs w:val="24"/>
          <w:highlight w:val="yellow"/>
          <w:lang w:val="uz-Cyrl-UZ"/>
        </w:rPr>
        <w:t xml:space="preserve"> pravo na slobodu izražavanja</w:t>
      </w:r>
    </w:p>
    <w:p w:rsidR="00100DDF" w:rsidRDefault="00100DDF" w:rsidP="00100DD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100DDF" w:rsidRDefault="00100DDF" w:rsidP="00100DD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Slučaj se ticao dv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e osobe koje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su održale govore 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tokom proslave kurdske Nove godine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(Newroz). U govor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ima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su izrazili nezadovoljstvo 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od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ređenim politikama vlade, praksama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službi 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bezb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j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dnosti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>, kao i uslovima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pod kojima se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lider Kurdistansk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r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>adničke partije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,</w:t>
      </w:r>
      <w:r w:rsidRPr="00100DDF">
        <w:t xml:space="preserve"> </w:t>
      </w:r>
      <w:r w:rsidRPr="00100DDF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Abdullah Öcalan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nalazio 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u pritvoru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>. Svoj govor su završili rečenicom: „Država nije preduzela nikakve korake za demokratizaciju ili rješavanje kurdskog problema. Mi vjerujemo u mir i u to da bi država mogla da preduzme odgovarajuće korake kako bi riješila kurski problem“. Oni su osuđeni za „širenje terorističke propagande“</w:t>
      </w:r>
      <w:r w:rsidR="009F36E2"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u ime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lastRenderedPageBreak/>
        <w:t>ilegalne organizacije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(</w:t>
      </w:r>
      <w:r w:rsidR="009F36E2"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Kurdistanske radničke partije 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>- PKK</w:t>
      </w:r>
      <w:r w:rsidR="009F36E2"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) i osuđen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i na godinu i </w:t>
      </w:r>
      <w:r w:rsidR="009F36E2"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osam m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>jeseci zatvora. Uložili su žalbu i K</w:t>
      </w:r>
      <w:r w:rsidR="009F36E2"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asacioni sud </w:t>
      </w:r>
      <w:r w:rsidR="009F36E2">
        <w:rPr>
          <w:rFonts w:asciiTheme="majorHAnsi" w:eastAsia="Calibri" w:hAnsiTheme="majorHAnsi" w:cs="Times New Roman"/>
          <w:sz w:val="24"/>
          <w:szCs w:val="24"/>
          <w:lang w:val="uz-Cyrl-UZ"/>
        </w:rPr>
        <w:t>je potvrdio osudu.</w:t>
      </w:r>
    </w:p>
    <w:p w:rsidR="009F36E2" w:rsidRDefault="009F36E2" w:rsidP="00100DD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9F36E2" w:rsidRDefault="009F36E2" w:rsidP="00100DD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Evro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>pski sud je smatrao da je osudom prekršeno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pravo na slobodu izražavanja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, jer, posmatrano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u cjelini, govori nisu ohrabrivali nasilje, 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oružani otpor ili ustana</w:t>
      </w:r>
      <w:r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k. 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Sud je smatrao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da govori </w:t>
      </w:r>
      <w:r w:rsidR="00806427" w:rsidRP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the speeches were not capable of inciting violence by instilling a deep-seated and irrational hatred against identifiable persons, and that they therefore did not constitute hate speech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nisu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bili takvi da su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mogli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da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podst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>aknu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na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nasilje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izazivanjem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duboko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ukor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>enjen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e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 iracion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alne mržnje prema 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određenim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osobama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>pa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da 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>zato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n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isu</w:t>
      </w:r>
      <w:r w:rsidRPr="009F36E2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predstavlja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li govor mržnje. 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Konačno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>, Sud je prim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ij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etio da 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se iz 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>presud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>a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domaćih sudova n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i</w:t>
      </w:r>
      <w:r w:rsidR="005775D3">
        <w:rPr>
          <w:rFonts w:asciiTheme="majorHAnsi" w:eastAsia="Calibri" w:hAnsiTheme="majorHAnsi" w:cs="Times New Roman"/>
          <w:sz w:val="24"/>
          <w:szCs w:val="24"/>
          <w:lang w:val="uz-Cyrl-UZ"/>
        </w:rPr>
        <w:t>je vidjelo da je procjenjena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proporcionalnost kazne i njen uticaj na pravo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na slobodu izraž</w:t>
      </w:r>
      <w:r w:rsidR="007E26EC">
        <w:rPr>
          <w:rFonts w:asciiTheme="majorHAnsi" w:eastAsia="Calibri" w:hAnsiTheme="majorHAnsi" w:cs="Times New Roman"/>
          <w:sz w:val="24"/>
          <w:szCs w:val="24"/>
          <w:lang w:val="uz-Cyrl-UZ"/>
        </w:rPr>
        <w:t>avanja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. Zbog svih ovih razloga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, Evropski sud za ljudska prava je smatrao da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su presuda i kazna nesrazmjerne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 i </w:t>
      </w:r>
      <w:r w:rsidR="00806427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da 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 xml:space="preserve">zato 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nisu bile „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>neophodn</w:t>
      </w:r>
      <w:r w:rsidR="00977471">
        <w:rPr>
          <w:rFonts w:asciiTheme="majorHAnsi" w:eastAsia="Calibri" w:hAnsiTheme="majorHAnsi" w:cs="Times New Roman"/>
          <w:sz w:val="24"/>
          <w:szCs w:val="24"/>
          <w:lang w:val="uz-Cyrl-UZ"/>
        </w:rPr>
        <w:t>e u demokratskom društvu“</w:t>
      </w:r>
      <w:r w:rsidR="00977471" w:rsidRPr="00977471">
        <w:rPr>
          <w:rFonts w:asciiTheme="majorHAnsi" w:eastAsia="Calibri" w:hAnsiTheme="majorHAnsi" w:cs="Times New Roman"/>
          <w:sz w:val="24"/>
          <w:szCs w:val="24"/>
          <w:lang w:val="uz-Cyrl-UZ"/>
        </w:rPr>
        <w:t>.</w:t>
      </w:r>
    </w:p>
    <w:p w:rsidR="009F36E2" w:rsidRDefault="009F36E2" w:rsidP="00100DDF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lang w:val="uz-Cyrl-UZ"/>
        </w:rPr>
      </w:pPr>
    </w:p>
    <w:p w:rsidR="003D241D" w:rsidRPr="0011026E" w:rsidRDefault="003D241D" w:rsidP="0011026E">
      <w:pPr>
        <w:spacing w:after="0"/>
        <w:jc w:val="both"/>
        <w:rPr>
          <w:rFonts w:asciiTheme="majorHAnsi" w:eastAsia="Calibri" w:hAnsiTheme="majorHAnsi" w:cs="Times New Roman"/>
          <w:b/>
          <w:i/>
          <w:sz w:val="24"/>
          <w:szCs w:val="24"/>
          <w:lang w:val="uz-Cyrl-UZ"/>
        </w:rPr>
      </w:pPr>
    </w:p>
    <w:p w:rsidR="000830F1" w:rsidRPr="0011026E" w:rsidRDefault="000830F1" w:rsidP="0011026E">
      <w:pPr>
        <w:spacing w:after="0"/>
        <w:jc w:val="both"/>
        <w:rPr>
          <w:rFonts w:asciiTheme="majorHAnsi" w:eastAsia="Calibri" w:hAnsiTheme="majorHAnsi" w:cs="Times New Roman"/>
          <w:b/>
          <w:i/>
          <w:sz w:val="24"/>
          <w:szCs w:val="24"/>
          <w:lang w:val="uz-Cyrl-UZ"/>
        </w:rPr>
      </w:pPr>
      <w:r w:rsidRPr="0011026E">
        <w:rPr>
          <w:rFonts w:asciiTheme="majorHAnsi" w:eastAsia="Calibri" w:hAnsiTheme="majorHAnsi" w:cs="Times New Roman"/>
          <w:b/>
          <w:i/>
          <w:sz w:val="24"/>
          <w:szCs w:val="24"/>
          <w:lang w:val="uz-Cyrl-UZ"/>
        </w:rPr>
        <w:t>Pripremio: Peter Noorlander, direktor Media Legal Defence Initiative, u saradnji sa HRA</w:t>
      </w:r>
    </w:p>
    <w:p w:rsidR="000830F1" w:rsidRPr="0011026E" w:rsidRDefault="000830F1" w:rsidP="0011026E">
      <w:pPr>
        <w:spacing w:after="0"/>
        <w:jc w:val="both"/>
        <w:rPr>
          <w:rFonts w:asciiTheme="majorHAnsi" w:eastAsia="Calibri" w:hAnsiTheme="majorHAnsi" w:cs="Times New Roman"/>
          <w:b/>
          <w:i/>
          <w:sz w:val="24"/>
          <w:szCs w:val="24"/>
          <w:lang w:val="uz-Cyrl-UZ"/>
        </w:rPr>
      </w:pPr>
    </w:p>
    <w:p w:rsidR="000830F1" w:rsidRPr="0011026E" w:rsidRDefault="00D06798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highlight w:val="yellow"/>
          <w:shd w:val="clear" w:color="auto" w:fill="FFFFFF"/>
          <w:lang w:val="uz-Cyrl-UZ"/>
        </w:rPr>
      </w:pPr>
      <w:r w:rsidRPr="0011026E">
        <w:rPr>
          <w:rFonts w:asciiTheme="majorHAnsi" w:eastAsia="Calibri" w:hAnsiTheme="majorHAnsi" w:cs="Times New Roman"/>
          <w:b/>
          <w:i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8F0FFD" wp14:editId="4B653B18">
                <wp:simplePos x="0" y="0"/>
                <wp:positionH relativeFrom="column">
                  <wp:posOffset>-52578</wp:posOffset>
                </wp:positionH>
                <wp:positionV relativeFrom="paragraph">
                  <wp:posOffset>122555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9.6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" strokecolor="#903" strokeweight="1.5pt"/>
            </w:pict>
          </mc:Fallback>
        </mc:AlternateContent>
      </w:r>
    </w:p>
    <w:p w:rsidR="000830F1" w:rsidRPr="0011026E" w:rsidRDefault="00552A1E" w:rsidP="0011026E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  <w:highlight w:val="yellow"/>
          <w:shd w:val="clear" w:color="auto" w:fill="FFFFFF"/>
          <w:lang w:val="uz-Cyrl-UZ"/>
        </w:rPr>
      </w:pPr>
      <w:r w:rsidRPr="0011026E">
        <w:rPr>
          <w:rFonts w:asciiTheme="majorHAnsi" w:hAnsiTheme="majorHAnsi"/>
          <w:noProof/>
          <w:sz w:val="24"/>
          <w:szCs w:val="24"/>
          <w:lang w:val="sr-Latn-ME" w:eastAsia="sr-Latn-ME"/>
        </w:rPr>
        <w:drawing>
          <wp:anchor distT="0" distB="0" distL="0" distR="0" simplePos="0" relativeHeight="251665408" behindDoc="0" locked="0" layoutInCell="1" allowOverlap="0" wp14:anchorId="0598EDED" wp14:editId="56EC4748">
            <wp:simplePos x="0" y="0"/>
            <wp:positionH relativeFrom="column">
              <wp:posOffset>-129540</wp:posOffset>
            </wp:positionH>
            <wp:positionV relativeFrom="line">
              <wp:posOffset>1905</wp:posOffset>
            </wp:positionV>
            <wp:extent cx="1069340" cy="775970"/>
            <wp:effectExtent l="0" t="0" r="0" b="5080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11026E" w:rsidRDefault="000830F1" w:rsidP="0011026E">
      <w:pPr>
        <w:spacing w:after="0"/>
        <w:jc w:val="both"/>
        <w:rPr>
          <w:rFonts w:asciiTheme="majorHAnsi" w:eastAsia="Calibri" w:hAnsiTheme="majorHAnsi" w:cs="Times New Roman"/>
          <w:lang w:val="uz-Cyrl-UZ"/>
        </w:rPr>
      </w:pPr>
      <w:r w:rsidRPr="0011026E">
        <w:rPr>
          <w:rFonts w:asciiTheme="majorHAnsi" w:eastAsia="Calibri" w:hAnsiTheme="majorHAnsi" w:cs="Times New Roman"/>
          <w:shd w:val="clear" w:color="auto" w:fill="FFFFFF"/>
          <w:lang w:val="uz-Cyrl-UZ"/>
        </w:rPr>
        <w:t xml:space="preserve">Bilteni se objavljuju </w:t>
      </w:r>
      <w:r w:rsidR="005341D1" w:rsidRPr="0011026E">
        <w:rPr>
          <w:rFonts w:asciiTheme="majorHAnsi" w:eastAsia="Calibri" w:hAnsiTheme="majorHAnsi" w:cs="Times New Roman"/>
          <w:shd w:val="clear" w:color="auto" w:fill="FFFFFF"/>
          <w:lang w:val="uz-Cyrl-UZ"/>
        </w:rPr>
        <w:t>u okviru projekta „Podrška razumijevanju novinarske etike i slobode izražavanja“, koji finansira Ambasada Sjedinjenih Američkih Država u Podgorici</w:t>
      </w:r>
      <w:r w:rsidR="00552A1E" w:rsidRPr="0011026E">
        <w:rPr>
          <w:rFonts w:asciiTheme="majorHAnsi" w:eastAsia="Calibri" w:hAnsiTheme="majorHAnsi" w:cs="Times New Roman"/>
          <w:shd w:val="clear" w:color="auto" w:fill="FFFFFF"/>
          <w:lang w:val="uz-Cyrl-UZ"/>
        </w:rPr>
        <w:t>.</w:t>
      </w:r>
    </w:p>
    <w:p w:rsidR="00B760F2" w:rsidRPr="0011026E" w:rsidRDefault="00D06798" w:rsidP="0011026E">
      <w:pPr>
        <w:tabs>
          <w:tab w:val="left" w:pos="2038"/>
        </w:tabs>
        <w:jc w:val="both"/>
        <w:rPr>
          <w:rFonts w:asciiTheme="majorHAnsi" w:hAnsiTheme="majorHAnsi"/>
          <w:sz w:val="24"/>
          <w:szCs w:val="24"/>
          <w:lang w:val="uz-Cyrl-UZ"/>
        </w:rPr>
      </w:pPr>
      <w:r w:rsidRPr="0011026E">
        <w:rPr>
          <w:rFonts w:asciiTheme="majorHAnsi" w:eastAsia="Calibri" w:hAnsiTheme="majorHAnsi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77791C" wp14:editId="1F6E0CDA">
                <wp:simplePos x="0" y="0"/>
                <wp:positionH relativeFrom="column">
                  <wp:posOffset>-988060</wp:posOffset>
                </wp:positionH>
                <wp:positionV relativeFrom="paragraph">
                  <wp:posOffset>94691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-77.8pt;margin-top:7.4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" strokecolor="#903" strokeweight="1.5pt"/>
            </w:pict>
          </mc:Fallback>
        </mc:AlternateContent>
      </w:r>
      <w:r w:rsidR="009E513B" w:rsidRPr="0011026E">
        <w:rPr>
          <w:rFonts w:asciiTheme="majorHAnsi" w:hAnsiTheme="majorHAnsi"/>
          <w:sz w:val="24"/>
          <w:szCs w:val="24"/>
          <w:lang w:val="uz-Cyrl-UZ"/>
        </w:rPr>
        <w:tab/>
      </w:r>
      <w:bookmarkStart w:id="0" w:name="_GoBack"/>
      <w:bookmarkEnd w:id="0"/>
    </w:p>
    <w:p w:rsidR="00C87344" w:rsidRPr="0011026E" w:rsidRDefault="00C87344" w:rsidP="0011026E">
      <w:pPr>
        <w:tabs>
          <w:tab w:val="left" w:pos="2038"/>
        </w:tabs>
        <w:jc w:val="both"/>
        <w:rPr>
          <w:rFonts w:asciiTheme="majorHAnsi" w:hAnsiTheme="majorHAnsi"/>
          <w:sz w:val="24"/>
          <w:szCs w:val="24"/>
          <w:lang w:val="uz-Cyrl-UZ"/>
        </w:rPr>
      </w:pPr>
    </w:p>
    <w:sectPr w:rsidR="00C87344" w:rsidRPr="0011026E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47" w:rsidRDefault="001C3E47" w:rsidP="002C0F0D">
      <w:pPr>
        <w:spacing w:after="0" w:line="240" w:lineRule="auto"/>
      </w:pPr>
      <w:r>
        <w:separator/>
      </w:r>
    </w:p>
  </w:endnote>
  <w:endnote w:type="continuationSeparator" w:id="0">
    <w:p w:rsidR="001C3E47" w:rsidRDefault="001C3E47" w:rsidP="002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47" w:rsidRDefault="001C3E47" w:rsidP="002C0F0D">
      <w:pPr>
        <w:spacing w:after="0" w:line="240" w:lineRule="auto"/>
      </w:pPr>
      <w:r>
        <w:separator/>
      </w:r>
    </w:p>
  </w:footnote>
  <w:footnote w:type="continuationSeparator" w:id="0">
    <w:p w:rsidR="001C3E47" w:rsidRDefault="001C3E47" w:rsidP="002C0F0D">
      <w:pPr>
        <w:spacing w:after="0" w:line="240" w:lineRule="auto"/>
      </w:pPr>
      <w:r>
        <w:continuationSeparator/>
      </w:r>
    </w:p>
  </w:footnote>
  <w:footnote w:id="1">
    <w:p w:rsidR="00806427" w:rsidRPr="002C0F0D" w:rsidRDefault="00806427">
      <w:pPr>
        <w:pStyle w:val="FootnoteText"/>
        <w:rPr>
          <w:lang w:val="uz-Cyrl-U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z-Cyrl-UZ"/>
        </w:rPr>
        <w:t>Engl: „FUCK YOU POPPY REMEMBER DERRY“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EA328E4"/>
    <w:multiLevelType w:val="hybridMultilevel"/>
    <w:tmpl w:val="EF1832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E02"/>
    <w:multiLevelType w:val="hybridMultilevel"/>
    <w:tmpl w:val="29A2B29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B91"/>
    <w:multiLevelType w:val="hybridMultilevel"/>
    <w:tmpl w:val="2C4EF3A0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217F1"/>
    <w:multiLevelType w:val="hybridMultilevel"/>
    <w:tmpl w:val="75B6554E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B02"/>
    <w:multiLevelType w:val="multilevel"/>
    <w:tmpl w:val="EDB61E60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5F7D04"/>
    <w:multiLevelType w:val="hybridMultilevel"/>
    <w:tmpl w:val="7BC6E5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E5BD7"/>
    <w:multiLevelType w:val="hybridMultilevel"/>
    <w:tmpl w:val="2A682D76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1230B"/>
    <w:rsid w:val="000162A3"/>
    <w:rsid w:val="00050986"/>
    <w:rsid w:val="00052A91"/>
    <w:rsid w:val="000830F1"/>
    <w:rsid w:val="000934E9"/>
    <w:rsid w:val="000C448F"/>
    <w:rsid w:val="000C62FE"/>
    <w:rsid w:val="000D36D4"/>
    <w:rsid w:val="000E4531"/>
    <w:rsid w:val="000E661F"/>
    <w:rsid w:val="000F1A8B"/>
    <w:rsid w:val="00100DDF"/>
    <w:rsid w:val="00102EDA"/>
    <w:rsid w:val="0011026E"/>
    <w:rsid w:val="001140CB"/>
    <w:rsid w:val="0011616B"/>
    <w:rsid w:val="0013367C"/>
    <w:rsid w:val="00133B3D"/>
    <w:rsid w:val="001479EE"/>
    <w:rsid w:val="00167B4F"/>
    <w:rsid w:val="00193E7C"/>
    <w:rsid w:val="001968DB"/>
    <w:rsid w:val="001B5B1F"/>
    <w:rsid w:val="001B6EBF"/>
    <w:rsid w:val="001C0271"/>
    <w:rsid w:val="001C3E47"/>
    <w:rsid w:val="001F26DE"/>
    <w:rsid w:val="001F6F97"/>
    <w:rsid w:val="00201B4C"/>
    <w:rsid w:val="00204E60"/>
    <w:rsid w:val="0020773C"/>
    <w:rsid w:val="0023229A"/>
    <w:rsid w:val="00234857"/>
    <w:rsid w:val="0024089C"/>
    <w:rsid w:val="002452A8"/>
    <w:rsid w:val="002473DE"/>
    <w:rsid w:val="0026343C"/>
    <w:rsid w:val="00292B94"/>
    <w:rsid w:val="00296323"/>
    <w:rsid w:val="002C0F0D"/>
    <w:rsid w:val="002C66A1"/>
    <w:rsid w:val="002D668C"/>
    <w:rsid w:val="002F1684"/>
    <w:rsid w:val="002F2D4A"/>
    <w:rsid w:val="002F3498"/>
    <w:rsid w:val="00322D45"/>
    <w:rsid w:val="003457EE"/>
    <w:rsid w:val="00353BB8"/>
    <w:rsid w:val="00374650"/>
    <w:rsid w:val="00395FE6"/>
    <w:rsid w:val="003B0184"/>
    <w:rsid w:val="003B0CDB"/>
    <w:rsid w:val="003B6314"/>
    <w:rsid w:val="003C1ECA"/>
    <w:rsid w:val="003C7EE0"/>
    <w:rsid w:val="003D241D"/>
    <w:rsid w:val="003D6F25"/>
    <w:rsid w:val="003E4E72"/>
    <w:rsid w:val="003F74FC"/>
    <w:rsid w:val="003F7BEB"/>
    <w:rsid w:val="00436BBF"/>
    <w:rsid w:val="004468DB"/>
    <w:rsid w:val="00447D09"/>
    <w:rsid w:val="00451641"/>
    <w:rsid w:val="00467D26"/>
    <w:rsid w:val="004731E4"/>
    <w:rsid w:val="00475153"/>
    <w:rsid w:val="00475856"/>
    <w:rsid w:val="0049112F"/>
    <w:rsid w:val="004A04C9"/>
    <w:rsid w:val="004B59BD"/>
    <w:rsid w:val="004B6087"/>
    <w:rsid w:val="004C2AA3"/>
    <w:rsid w:val="004C3ECD"/>
    <w:rsid w:val="004D5DBD"/>
    <w:rsid w:val="004E7B0C"/>
    <w:rsid w:val="0053208B"/>
    <w:rsid w:val="005341D1"/>
    <w:rsid w:val="00543716"/>
    <w:rsid w:val="00552944"/>
    <w:rsid w:val="00552A1E"/>
    <w:rsid w:val="005759EE"/>
    <w:rsid w:val="005775D3"/>
    <w:rsid w:val="0058315D"/>
    <w:rsid w:val="005833EC"/>
    <w:rsid w:val="00591E10"/>
    <w:rsid w:val="005942A5"/>
    <w:rsid w:val="005A5CE5"/>
    <w:rsid w:val="005B096B"/>
    <w:rsid w:val="005C5A8A"/>
    <w:rsid w:val="005D1438"/>
    <w:rsid w:val="0061318A"/>
    <w:rsid w:val="00635C6A"/>
    <w:rsid w:val="00662020"/>
    <w:rsid w:val="00665A91"/>
    <w:rsid w:val="00665AAB"/>
    <w:rsid w:val="00671572"/>
    <w:rsid w:val="00683D1D"/>
    <w:rsid w:val="00685658"/>
    <w:rsid w:val="00691BDD"/>
    <w:rsid w:val="006A066A"/>
    <w:rsid w:val="006A31C4"/>
    <w:rsid w:val="006A4AFF"/>
    <w:rsid w:val="006C2BC8"/>
    <w:rsid w:val="006C4577"/>
    <w:rsid w:val="006D3B20"/>
    <w:rsid w:val="006D4AF0"/>
    <w:rsid w:val="00701C65"/>
    <w:rsid w:val="0070748C"/>
    <w:rsid w:val="0071381B"/>
    <w:rsid w:val="0071597C"/>
    <w:rsid w:val="00721384"/>
    <w:rsid w:val="00721F11"/>
    <w:rsid w:val="00726592"/>
    <w:rsid w:val="00727BFA"/>
    <w:rsid w:val="00753737"/>
    <w:rsid w:val="00762A5F"/>
    <w:rsid w:val="007875CC"/>
    <w:rsid w:val="007A6AFF"/>
    <w:rsid w:val="007E26EC"/>
    <w:rsid w:val="007F1C7D"/>
    <w:rsid w:val="007F32F2"/>
    <w:rsid w:val="0080201B"/>
    <w:rsid w:val="00802AF1"/>
    <w:rsid w:val="00806427"/>
    <w:rsid w:val="008153A2"/>
    <w:rsid w:val="00816F65"/>
    <w:rsid w:val="008170C7"/>
    <w:rsid w:val="0082227D"/>
    <w:rsid w:val="00822283"/>
    <w:rsid w:val="00823CC5"/>
    <w:rsid w:val="0082765E"/>
    <w:rsid w:val="00834899"/>
    <w:rsid w:val="008435D5"/>
    <w:rsid w:val="008552F3"/>
    <w:rsid w:val="008A27B9"/>
    <w:rsid w:val="008A2D7D"/>
    <w:rsid w:val="008B3788"/>
    <w:rsid w:val="008D1F88"/>
    <w:rsid w:val="00914505"/>
    <w:rsid w:val="0094579F"/>
    <w:rsid w:val="00951B41"/>
    <w:rsid w:val="00955E23"/>
    <w:rsid w:val="00960087"/>
    <w:rsid w:val="00960506"/>
    <w:rsid w:val="0096291E"/>
    <w:rsid w:val="00967623"/>
    <w:rsid w:val="00977471"/>
    <w:rsid w:val="00983463"/>
    <w:rsid w:val="009965EB"/>
    <w:rsid w:val="00996D15"/>
    <w:rsid w:val="009A64C7"/>
    <w:rsid w:val="009B395A"/>
    <w:rsid w:val="009C0DEE"/>
    <w:rsid w:val="009C3FC9"/>
    <w:rsid w:val="009C623C"/>
    <w:rsid w:val="009E19A5"/>
    <w:rsid w:val="009E513B"/>
    <w:rsid w:val="009F36E2"/>
    <w:rsid w:val="009F6F99"/>
    <w:rsid w:val="00A3534B"/>
    <w:rsid w:val="00A37EFB"/>
    <w:rsid w:val="00A62430"/>
    <w:rsid w:val="00A70014"/>
    <w:rsid w:val="00A76416"/>
    <w:rsid w:val="00A8251D"/>
    <w:rsid w:val="00A829CA"/>
    <w:rsid w:val="00AA15A9"/>
    <w:rsid w:val="00AA72C1"/>
    <w:rsid w:val="00AC3C17"/>
    <w:rsid w:val="00AD0B41"/>
    <w:rsid w:val="00AE2C8C"/>
    <w:rsid w:val="00B06AD0"/>
    <w:rsid w:val="00B140C0"/>
    <w:rsid w:val="00B15E8C"/>
    <w:rsid w:val="00B44E8F"/>
    <w:rsid w:val="00B61207"/>
    <w:rsid w:val="00B652B1"/>
    <w:rsid w:val="00B668E5"/>
    <w:rsid w:val="00B6714E"/>
    <w:rsid w:val="00B760F2"/>
    <w:rsid w:val="00B93D92"/>
    <w:rsid w:val="00B96414"/>
    <w:rsid w:val="00BA6591"/>
    <w:rsid w:val="00C00728"/>
    <w:rsid w:val="00C1169F"/>
    <w:rsid w:val="00C3479D"/>
    <w:rsid w:val="00C53284"/>
    <w:rsid w:val="00C6706F"/>
    <w:rsid w:val="00C7630C"/>
    <w:rsid w:val="00C855EC"/>
    <w:rsid w:val="00C87344"/>
    <w:rsid w:val="00C91022"/>
    <w:rsid w:val="00C9380C"/>
    <w:rsid w:val="00CA3B4B"/>
    <w:rsid w:val="00CA3DB9"/>
    <w:rsid w:val="00CD5535"/>
    <w:rsid w:val="00CD5EC8"/>
    <w:rsid w:val="00D06798"/>
    <w:rsid w:val="00D159C9"/>
    <w:rsid w:val="00D16439"/>
    <w:rsid w:val="00D238F7"/>
    <w:rsid w:val="00D323E0"/>
    <w:rsid w:val="00D4465D"/>
    <w:rsid w:val="00D5324B"/>
    <w:rsid w:val="00D53F99"/>
    <w:rsid w:val="00D554FB"/>
    <w:rsid w:val="00D65A8D"/>
    <w:rsid w:val="00D7020B"/>
    <w:rsid w:val="00D750B9"/>
    <w:rsid w:val="00D863D5"/>
    <w:rsid w:val="00D86A7C"/>
    <w:rsid w:val="00D95638"/>
    <w:rsid w:val="00D97514"/>
    <w:rsid w:val="00DA4400"/>
    <w:rsid w:val="00DA5A2E"/>
    <w:rsid w:val="00DA7C4E"/>
    <w:rsid w:val="00DB0B04"/>
    <w:rsid w:val="00DB209A"/>
    <w:rsid w:val="00DB3AD1"/>
    <w:rsid w:val="00DB5C34"/>
    <w:rsid w:val="00DC2899"/>
    <w:rsid w:val="00DC4DDA"/>
    <w:rsid w:val="00DD32C2"/>
    <w:rsid w:val="00E0005B"/>
    <w:rsid w:val="00E2593E"/>
    <w:rsid w:val="00E44EBA"/>
    <w:rsid w:val="00E46FF4"/>
    <w:rsid w:val="00E51184"/>
    <w:rsid w:val="00E73C2A"/>
    <w:rsid w:val="00E74FCC"/>
    <w:rsid w:val="00E80CE8"/>
    <w:rsid w:val="00E97EBB"/>
    <w:rsid w:val="00EB2B07"/>
    <w:rsid w:val="00EB3E4C"/>
    <w:rsid w:val="00EB7F76"/>
    <w:rsid w:val="00ED75CD"/>
    <w:rsid w:val="00EE286E"/>
    <w:rsid w:val="00EF5CF6"/>
    <w:rsid w:val="00EF60EB"/>
    <w:rsid w:val="00F04C83"/>
    <w:rsid w:val="00F356BF"/>
    <w:rsid w:val="00F41742"/>
    <w:rsid w:val="00F664F4"/>
    <w:rsid w:val="00F747E4"/>
    <w:rsid w:val="00F77022"/>
    <w:rsid w:val="00F949D8"/>
    <w:rsid w:val="00FA7F3C"/>
    <w:rsid w:val="00FB054C"/>
    <w:rsid w:val="00FC0116"/>
    <w:rsid w:val="00FC3536"/>
    <w:rsid w:val="00FF449B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F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0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F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EBD2-5A22-4FC9-9954-4A8665EE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2015-05-29T15:49:00Z</cp:lastPrinted>
  <dcterms:created xsi:type="dcterms:W3CDTF">2015-05-29T15:49:00Z</dcterms:created>
  <dcterms:modified xsi:type="dcterms:W3CDTF">2015-05-29T15:49:00Z</dcterms:modified>
</cp:coreProperties>
</file>